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normal4"/>
        <w:tblW w:w="9781" w:type="dxa"/>
        <w:tblLook w:val="0600" w:firstRow="0" w:lastRow="0" w:firstColumn="0" w:lastColumn="0" w:noHBand="1" w:noVBand="1"/>
      </w:tblPr>
      <w:tblGrid>
        <w:gridCol w:w="2410"/>
        <w:gridCol w:w="4961"/>
        <w:gridCol w:w="2410"/>
      </w:tblGrid>
      <w:tr w:rsidR="000C3BA7" w14:paraId="63152388" w14:textId="77777777" w:rsidTr="000C0D90">
        <w:trPr>
          <w:trHeight w:val="1962"/>
        </w:trPr>
        <w:tc>
          <w:tcPr>
            <w:tcW w:w="9781" w:type="dxa"/>
            <w:gridSpan w:val="3"/>
            <w:vAlign w:val="center"/>
          </w:tcPr>
          <w:p w14:paraId="346B7822" w14:textId="77777777" w:rsidR="000C3BA7" w:rsidRPr="003E0BEE" w:rsidRDefault="000C3BA7" w:rsidP="00514D56">
            <w:pPr>
              <w:spacing w:line="20" w:lineRule="exact"/>
              <w:jc w:val="center"/>
              <w:rPr>
                <w:rFonts w:ascii="Book Antiqua" w:eastAsia="Times New Roman" w:hAnsi="Book Antiqua"/>
                <w:sz w:val="24"/>
              </w:rPr>
            </w:pPr>
          </w:p>
          <w:p w14:paraId="0DC1E905" w14:textId="75AEE0AC" w:rsidR="00514D56" w:rsidRPr="003E0BEE" w:rsidRDefault="00514D56" w:rsidP="00514D56">
            <w:pPr>
              <w:tabs>
                <w:tab w:val="left" w:pos="4284"/>
              </w:tabs>
              <w:jc w:val="center"/>
              <w:rPr>
                <w:rFonts w:ascii="Book Antiqua" w:eastAsia="Times New Roman" w:hAnsi="Book Antiqua"/>
                <w:sz w:val="24"/>
              </w:rPr>
            </w:pPr>
            <w:r w:rsidRPr="003E0BEE">
              <w:rPr>
                <w:rFonts w:ascii="Book Antiqua" w:eastAsia="Times New Roman" w:hAnsi="Book Antiqua"/>
                <w:noProof/>
                <w:sz w:val="24"/>
              </w:rPr>
              <w:drawing>
                <wp:inline distT="0" distB="0" distL="0" distR="0" wp14:anchorId="79E67C27" wp14:editId="1FE029C3">
                  <wp:extent cx="3048000" cy="9753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revista_nombre.jpg"/>
                          <pic:cNvPicPr/>
                        </pic:nvPicPr>
                        <pic:blipFill>
                          <a:blip r:embed="rId7">
                            <a:extLst>
                              <a:ext uri="{28A0092B-C50C-407E-A947-70E740481C1C}">
                                <a14:useLocalDpi xmlns:a14="http://schemas.microsoft.com/office/drawing/2010/main" val="0"/>
                              </a:ext>
                            </a:extLst>
                          </a:blip>
                          <a:stretch>
                            <a:fillRect/>
                          </a:stretch>
                        </pic:blipFill>
                        <pic:spPr>
                          <a:xfrm>
                            <a:off x="0" y="0"/>
                            <a:ext cx="3048000" cy="975360"/>
                          </a:xfrm>
                          <a:prstGeom prst="rect">
                            <a:avLst/>
                          </a:prstGeom>
                        </pic:spPr>
                      </pic:pic>
                    </a:graphicData>
                  </a:graphic>
                </wp:inline>
              </w:drawing>
            </w:r>
          </w:p>
        </w:tc>
      </w:tr>
      <w:tr w:rsidR="000C3BA7" w14:paraId="1A718248" w14:textId="77777777" w:rsidTr="000C0D90">
        <w:trPr>
          <w:trHeight w:val="585"/>
        </w:trPr>
        <w:tc>
          <w:tcPr>
            <w:tcW w:w="2410" w:type="dxa"/>
            <w:tcBorders>
              <w:bottom w:val="thinThickSmallGap" w:sz="24" w:space="0" w:color="C45911" w:themeColor="accent2" w:themeShade="BF"/>
            </w:tcBorders>
          </w:tcPr>
          <w:p w14:paraId="40B1AF29" w14:textId="77777777" w:rsidR="000C3BA7" w:rsidRPr="003E0BEE" w:rsidRDefault="000C3BA7" w:rsidP="008C2933">
            <w:pPr>
              <w:spacing w:line="20" w:lineRule="exact"/>
              <w:rPr>
                <w:rFonts w:ascii="Book Antiqua" w:eastAsia="Times New Roman" w:hAnsi="Book Antiqua"/>
                <w:color w:val="C45911" w:themeColor="accent2" w:themeShade="BF"/>
                <w:sz w:val="24"/>
              </w:rPr>
            </w:pPr>
          </w:p>
          <w:p w14:paraId="3D00F385" w14:textId="10AE88C2" w:rsidR="003E0BEE" w:rsidRPr="003E0BEE" w:rsidRDefault="003E0BEE" w:rsidP="00314AAE">
            <w:pPr>
              <w:jc w:val="center"/>
              <w:rPr>
                <w:rFonts w:ascii="Book Antiqua" w:eastAsia="Times New Roman" w:hAnsi="Book Antiqua"/>
                <w:b/>
                <w:bCs/>
                <w:color w:val="C45911" w:themeColor="accent2" w:themeShade="BF"/>
              </w:rPr>
            </w:pPr>
            <w:r w:rsidRPr="003E0BEE">
              <w:rPr>
                <w:rFonts w:ascii="Book Antiqua" w:eastAsia="Times New Roman" w:hAnsi="Book Antiqua"/>
                <w:b/>
                <w:bCs/>
                <w:color w:val="C45911" w:themeColor="accent2" w:themeShade="BF"/>
              </w:rPr>
              <w:t>ISSN 1989-1970</w:t>
            </w:r>
          </w:p>
        </w:tc>
        <w:tc>
          <w:tcPr>
            <w:tcW w:w="4961" w:type="dxa"/>
            <w:tcBorders>
              <w:bottom w:val="thinThickSmallGap" w:sz="24" w:space="0" w:color="C45911" w:themeColor="accent2" w:themeShade="BF"/>
            </w:tcBorders>
          </w:tcPr>
          <w:p w14:paraId="4E98E115" w14:textId="77777777" w:rsidR="000C3BA7" w:rsidRDefault="000C3BA7" w:rsidP="008C2933">
            <w:pPr>
              <w:spacing w:line="20" w:lineRule="exact"/>
              <w:rPr>
                <w:rFonts w:ascii="Book Antiqua" w:eastAsia="Times New Roman" w:hAnsi="Book Antiqua"/>
                <w:sz w:val="24"/>
              </w:rPr>
            </w:pPr>
          </w:p>
          <w:p w14:paraId="688B0A5C" w14:textId="667B5ADE" w:rsidR="003E0BEE" w:rsidRPr="003E0BEE" w:rsidRDefault="00911B9D" w:rsidP="003E0BEE">
            <w:pPr>
              <w:jc w:val="center"/>
              <w:rPr>
                <w:rFonts w:ascii="Book Antiqua" w:eastAsia="Times New Roman" w:hAnsi="Book Antiqua"/>
              </w:rPr>
            </w:pPr>
            <w:r>
              <w:rPr>
                <w:rFonts w:ascii="Book Antiqua" w:eastAsia="Times New Roman" w:hAnsi="Book Antiqua"/>
                <w:b/>
                <w:bCs/>
                <w:color w:val="C45911" w:themeColor="accent2" w:themeShade="BF"/>
                <w:sz w:val="24"/>
                <w:szCs w:val="24"/>
              </w:rPr>
              <w:t>Octubre</w:t>
            </w:r>
            <w:r w:rsidR="003E0BEE" w:rsidRPr="00314AAE">
              <w:rPr>
                <w:rFonts w:ascii="Book Antiqua" w:eastAsia="Times New Roman" w:hAnsi="Book Antiqua"/>
                <w:b/>
                <w:bCs/>
                <w:color w:val="C45911" w:themeColor="accent2" w:themeShade="BF"/>
                <w:sz w:val="24"/>
                <w:szCs w:val="24"/>
              </w:rPr>
              <w:t>-2020</w:t>
            </w:r>
            <w:r w:rsidR="003E0BEE" w:rsidRPr="003E0BEE">
              <w:rPr>
                <w:rFonts w:ascii="Book Antiqua" w:eastAsia="Times New Roman" w:hAnsi="Book Antiqua"/>
                <w:color w:val="C45911" w:themeColor="accent2" w:themeShade="BF"/>
              </w:rPr>
              <w:br/>
            </w:r>
            <w:r w:rsidR="003E0BEE" w:rsidRPr="00314AAE">
              <w:rPr>
                <w:rFonts w:ascii="Book Antiqua" w:eastAsia="Times New Roman" w:hAnsi="Book Antiqua"/>
                <w:color w:val="C45911" w:themeColor="accent2" w:themeShade="BF"/>
                <w:sz w:val="16"/>
                <w:szCs w:val="16"/>
              </w:rPr>
              <w:t xml:space="preserve">Full </w:t>
            </w:r>
            <w:proofErr w:type="spellStart"/>
            <w:r w:rsidR="003E0BEE" w:rsidRPr="00314AAE">
              <w:rPr>
                <w:rFonts w:ascii="Book Antiqua" w:eastAsia="Times New Roman" w:hAnsi="Book Antiqua"/>
                <w:color w:val="C45911" w:themeColor="accent2" w:themeShade="BF"/>
                <w:sz w:val="16"/>
                <w:szCs w:val="16"/>
              </w:rPr>
              <w:t>text</w:t>
            </w:r>
            <w:proofErr w:type="spellEnd"/>
            <w:r w:rsidR="003E0BEE" w:rsidRPr="00314AAE">
              <w:rPr>
                <w:rFonts w:ascii="Book Antiqua" w:eastAsia="Times New Roman" w:hAnsi="Book Antiqua"/>
                <w:color w:val="C45911" w:themeColor="accent2" w:themeShade="BF"/>
                <w:sz w:val="16"/>
                <w:szCs w:val="16"/>
              </w:rPr>
              <w:t xml:space="preserve"> </w:t>
            </w:r>
            <w:proofErr w:type="spellStart"/>
            <w:r w:rsidR="003E0BEE" w:rsidRPr="00314AAE">
              <w:rPr>
                <w:rFonts w:ascii="Book Antiqua" w:eastAsia="Times New Roman" w:hAnsi="Book Antiqua"/>
                <w:color w:val="C45911" w:themeColor="accent2" w:themeShade="BF"/>
                <w:sz w:val="16"/>
                <w:szCs w:val="16"/>
              </w:rPr>
              <w:t>article</w:t>
            </w:r>
            <w:proofErr w:type="spellEnd"/>
          </w:p>
        </w:tc>
        <w:tc>
          <w:tcPr>
            <w:tcW w:w="2410" w:type="dxa"/>
            <w:tcBorders>
              <w:bottom w:val="thinThickSmallGap" w:sz="24" w:space="0" w:color="C45911" w:themeColor="accent2" w:themeShade="BF"/>
            </w:tcBorders>
          </w:tcPr>
          <w:p w14:paraId="5CC18FEF" w14:textId="77777777" w:rsidR="000C3BA7" w:rsidRDefault="000C3BA7" w:rsidP="008C2933">
            <w:pPr>
              <w:spacing w:line="20" w:lineRule="exact"/>
              <w:rPr>
                <w:rFonts w:ascii="Book Antiqua" w:eastAsia="Times New Roman" w:hAnsi="Book Antiqua"/>
                <w:sz w:val="24"/>
              </w:rPr>
            </w:pPr>
          </w:p>
          <w:p w14:paraId="39194B7B" w14:textId="39160010" w:rsidR="003E0BEE" w:rsidRPr="003E0BEE" w:rsidRDefault="003E0BEE" w:rsidP="00314AAE">
            <w:pPr>
              <w:jc w:val="center"/>
              <w:rPr>
                <w:rFonts w:ascii="Book Antiqua" w:eastAsia="Times New Roman" w:hAnsi="Book Antiqua"/>
                <w:b/>
                <w:bCs/>
              </w:rPr>
            </w:pPr>
            <w:r w:rsidRPr="003E0BEE">
              <w:rPr>
                <w:rFonts w:ascii="Book Antiqua" w:eastAsia="Times New Roman" w:hAnsi="Book Antiqua"/>
                <w:b/>
                <w:bCs/>
                <w:color w:val="C45911" w:themeColor="accent2" w:themeShade="BF"/>
              </w:rPr>
              <w:t>www.ridrom.uclm.es</w:t>
            </w:r>
          </w:p>
        </w:tc>
      </w:tr>
      <w:tr w:rsidR="00192159" w14:paraId="571710AE" w14:textId="77777777" w:rsidTr="008D12F6">
        <w:trPr>
          <w:trHeight w:val="437"/>
        </w:trPr>
        <w:tc>
          <w:tcPr>
            <w:tcW w:w="9781" w:type="dxa"/>
            <w:gridSpan w:val="3"/>
            <w:tcBorders>
              <w:top w:val="single" w:sz="12" w:space="0" w:color="auto"/>
            </w:tcBorders>
          </w:tcPr>
          <w:p w14:paraId="1027DE21" w14:textId="77777777" w:rsidR="00192159" w:rsidRDefault="00192159" w:rsidP="008C2933">
            <w:pPr>
              <w:spacing w:line="20" w:lineRule="exact"/>
              <w:rPr>
                <w:rFonts w:ascii="Book Antiqua" w:eastAsia="Times New Roman" w:hAnsi="Book Antiqua"/>
                <w:sz w:val="24"/>
              </w:rPr>
            </w:pPr>
          </w:p>
          <w:p w14:paraId="56676192" w14:textId="64815547" w:rsidR="00807CD5" w:rsidRPr="00807CD5" w:rsidRDefault="00807CD5" w:rsidP="00807CD5">
            <w:pPr>
              <w:jc w:val="center"/>
              <w:rPr>
                <w:rFonts w:ascii="Book Antiqua" w:eastAsia="Times New Roman" w:hAnsi="Book Antiqua"/>
                <w:sz w:val="24"/>
              </w:rPr>
            </w:pPr>
            <w:r>
              <w:rPr>
                <w:noProof/>
              </w:rPr>
              <w:drawing>
                <wp:inline distT="0" distB="0" distL="0" distR="0" wp14:anchorId="50B174F6" wp14:editId="6097A836">
                  <wp:extent cx="647700" cy="228167"/>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296" cy="234013"/>
                          </a:xfrm>
                          <a:prstGeom prst="rect">
                            <a:avLst/>
                          </a:prstGeom>
                          <a:noFill/>
                          <a:ln>
                            <a:noFill/>
                          </a:ln>
                        </pic:spPr>
                      </pic:pic>
                    </a:graphicData>
                  </a:graphic>
                </wp:inline>
              </w:drawing>
            </w:r>
          </w:p>
        </w:tc>
      </w:tr>
      <w:tr w:rsidR="00192159" w14:paraId="153AE897" w14:textId="77777777" w:rsidTr="008E4398">
        <w:trPr>
          <w:trHeight w:val="9773"/>
        </w:trPr>
        <w:tc>
          <w:tcPr>
            <w:tcW w:w="9781" w:type="dxa"/>
            <w:gridSpan w:val="3"/>
          </w:tcPr>
          <w:p w14:paraId="455EF296" w14:textId="77777777" w:rsidR="00192159" w:rsidRDefault="00192159" w:rsidP="008C2933">
            <w:pPr>
              <w:spacing w:line="20" w:lineRule="exact"/>
              <w:rPr>
                <w:rFonts w:ascii="Book Antiqua" w:eastAsia="Times New Roman" w:hAnsi="Book Antiqua"/>
                <w:sz w:val="24"/>
              </w:rPr>
            </w:pPr>
          </w:p>
          <w:p w14:paraId="576FECAF" w14:textId="77777777" w:rsidR="00192159" w:rsidRDefault="00192159" w:rsidP="008C2933">
            <w:pPr>
              <w:spacing w:line="20" w:lineRule="exact"/>
              <w:rPr>
                <w:rFonts w:ascii="Book Antiqua" w:eastAsia="Times New Roman" w:hAnsi="Book Antiqua"/>
                <w:sz w:val="24"/>
              </w:rPr>
            </w:pPr>
          </w:p>
          <w:p w14:paraId="23F767C1" w14:textId="77777777" w:rsidR="00192159" w:rsidRDefault="00192159" w:rsidP="004D64E8">
            <w:pPr>
              <w:jc w:val="center"/>
              <w:rPr>
                <w:rFonts w:ascii="Book Antiqua" w:eastAsia="Times New Roman" w:hAnsi="Book Antiqua"/>
                <w:b/>
                <w:bCs/>
                <w:sz w:val="24"/>
                <w:lang w:val="es-ES_tradnl"/>
              </w:rPr>
            </w:pPr>
          </w:p>
          <w:p w14:paraId="0B3F0C8A" w14:textId="77777777" w:rsidR="001F5F99" w:rsidRDefault="001F5F99" w:rsidP="000F0AF7">
            <w:pPr>
              <w:jc w:val="center"/>
              <w:rPr>
                <w:rFonts w:ascii="Book Antiqua" w:eastAsiaTheme="minorHAnsi" w:hAnsi="Book Antiqua"/>
                <w:b/>
                <w:sz w:val="24"/>
                <w:szCs w:val="24"/>
                <w:lang w:val="es-ES_tradnl" w:eastAsia="en-US"/>
              </w:rPr>
            </w:pPr>
          </w:p>
          <w:p w14:paraId="3FD0124B" w14:textId="77777777" w:rsidR="001F5F99" w:rsidRDefault="001F5F99" w:rsidP="000F0AF7">
            <w:pPr>
              <w:jc w:val="center"/>
              <w:rPr>
                <w:rFonts w:ascii="Book Antiqua" w:eastAsiaTheme="minorHAnsi" w:hAnsi="Book Antiqua"/>
                <w:b/>
                <w:sz w:val="24"/>
                <w:szCs w:val="24"/>
                <w:lang w:val="es-ES_tradnl" w:eastAsia="en-US"/>
              </w:rPr>
            </w:pPr>
          </w:p>
          <w:p w14:paraId="457332DE" w14:textId="77777777" w:rsidR="001F5F99" w:rsidRDefault="001F5F99" w:rsidP="000F0AF7">
            <w:pPr>
              <w:jc w:val="center"/>
              <w:rPr>
                <w:rFonts w:ascii="Book Antiqua" w:eastAsiaTheme="minorHAnsi" w:hAnsi="Book Antiqua"/>
                <w:b/>
                <w:sz w:val="24"/>
                <w:szCs w:val="24"/>
                <w:lang w:val="es-ES_tradnl" w:eastAsia="en-US"/>
              </w:rPr>
            </w:pPr>
          </w:p>
          <w:p w14:paraId="35856B83" w14:textId="77777777" w:rsidR="001F5F99" w:rsidRDefault="001F5F99" w:rsidP="000F0AF7">
            <w:pPr>
              <w:jc w:val="center"/>
              <w:rPr>
                <w:rFonts w:ascii="Book Antiqua" w:eastAsiaTheme="minorHAnsi" w:hAnsi="Book Antiqua"/>
                <w:b/>
                <w:sz w:val="24"/>
                <w:szCs w:val="24"/>
                <w:lang w:val="es-ES_tradnl" w:eastAsia="en-US"/>
              </w:rPr>
            </w:pPr>
          </w:p>
          <w:p w14:paraId="24CB3111" w14:textId="0B5D750A" w:rsidR="00911B9D" w:rsidRPr="00911B9D" w:rsidRDefault="00096867" w:rsidP="00911B9D">
            <w:pPr>
              <w:jc w:val="center"/>
              <w:rPr>
                <w:rFonts w:ascii="Book Antiqua" w:hAnsi="Book Antiqua"/>
                <w:b/>
                <w:bCs/>
                <w:sz w:val="24"/>
                <w:szCs w:val="24"/>
              </w:rPr>
            </w:pPr>
            <w:r w:rsidRPr="00096867">
              <w:rPr>
                <w:rFonts w:ascii="Book Antiqua" w:hAnsi="Book Antiqua"/>
                <w:b/>
                <w:bCs/>
                <w:sz w:val="24"/>
                <w:szCs w:val="24"/>
              </w:rPr>
              <w:t xml:space="preserve">LÓPEZ RENDO, Carmen/AZAUSTRE, María José. Sumisión y residencia habitual en el Reglamento Europeo de Sucesiones: fundamentos </w:t>
            </w:r>
            <w:proofErr w:type="spellStart"/>
            <w:r w:rsidRPr="00096867">
              <w:rPr>
                <w:rFonts w:ascii="Book Antiqua" w:hAnsi="Book Antiqua"/>
                <w:b/>
                <w:bCs/>
                <w:sz w:val="24"/>
                <w:szCs w:val="24"/>
              </w:rPr>
              <w:t>romanísticos</w:t>
            </w:r>
            <w:proofErr w:type="spellEnd"/>
            <w:r w:rsidRPr="00096867">
              <w:rPr>
                <w:rFonts w:ascii="Book Antiqua" w:hAnsi="Book Antiqua"/>
                <w:b/>
                <w:bCs/>
                <w:sz w:val="24"/>
                <w:szCs w:val="24"/>
              </w:rPr>
              <w:t xml:space="preserve">. </w:t>
            </w:r>
            <w:proofErr w:type="spellStart"/>
            <w:r w:rsidRPr="00096867">
              <w:rPr>
                <w:rFonts w:ascii="Book Antiqua" w:hAnsi="Book Antiqua"/>
                <w:b/>
                <w:bCs/>
                <w:sz w:val="24"/>
                <w:szCs w:val="24"/>
              </w:rPr>
              <w:t>RIDROM</w:t>
            </w:r>
            <w:proofErr w:type="spellEnd"/>
            <w:r w:rsidRPr="00096867">
              <w:rPr>
                <w:rFonts w:ascii="Book Antiqua" w:hAnsi="Book Antiqua"/>
                <w:b/>
                <w:bCs/>
                <w:sz w:val="24"/>
                <w:szCs w:val="24"/>
              </w:rPr>
              <w:t xml:space="preserve"> [</w:t>
            </w:r>
            <w:proofErr w:type="spellStart"/>
            <w:r w:rsidRPr="00096867">
              <w:rPr>
                <w:rFonts w:ascii="Book Antiqua" w:hAnsi="Book Antiqua"/>
                <w:b/>
                <w:bCs/>
                <w:sz w:val="24"/>
                <w:szCs w:val="24"/>
              </w:rPr>
              <w:t>on</w:t>
            </w:r>
            <w:proofErr w:type="spellEnd"/>
            <w:r w:rsidRPr="00096867">
              <w:rPr>
                <w:rFonts w:ascii="Book Antiqua" w:hAnsi="Book Antiqua"/>
                <w:b/>
                <w:bCs/>
                <w:sz w:val="24"/>
                <w:szCs w:val="24"/>
              </w:rPr>
              <w:t xml:space="preserve"> line]. 24-2020.  ISSN 1989-1970.  p. 150-260</w:t>
            </w:r>
          </w:p>
          <w:p w14:paraId="2667C4F4" w14:textId="75FB848D" w:rsidR="00911B9D" w:rsidRPr="00911B9D" w:rsidRDefault="00911B9D" w:rsidP="00911B9D">
            <w:pPr>
              <w:jc w:val="center"/>
              <w:rPr>
                <w:rFonts w:ascii="Book Antiqua" w:hAnsi="Book Antiqua"/>
                <w:b/>
                <w:bCs/>
                <w:sz w:val="24"/>
                <w:szCs w:val="24"/>
              </w:rPr>
            </w:pPr>
          </w:p>
          <w:p w14:paraId="4D19131A" w14:textId="2C0A4383" w:rsidR="00911B9D" w:rsidRDefault="00911B9D" w:rsidP="00911B9D">
            <w:pPr>
              <w:jc w:val="center"/>
              <w:rPr>
                <w:rFonts w:ascii="Book Antiqua" w:hAnsi="Book Antiqua"/>
                <w:b/>
                <w:bCs/>
                <w:sz w:val="24"/>
                <w:szCs w:val="24"/>
              </w:rPr>
            </w:pPr>
          </w:p>
          <w:p w14:paraId="20CCCE4F" w14:textId="6C137EBE" w:rsidR="00911B9D" w:rsidRDefault="00911B9D" w:rsidP="00911B9D">
            <w:pPr>
              <w:jc w:val="center"/>
              <w:rPr>
                <w:rFonts w:ascii="Book Antiqua" w:hAnsi="Book Antiqua"/>
                <w:b/>
                <w:bCs/>
                <w:sz w:val="24"/>
                <w:szCs w:val="24"/>
              </w:rPr>
            </w:pPr>
          </w:p>
          <w:p w14:paraId="42F23B41" w14:textId="77777777" w:rsidR="00911B9D" w:rsidRPr="00911B9D" w:rsidRDefault="00911B9D" w:rsidP="00911B9D">
            <w:pPr>
              <w:jc w:val="center"/>
              <w:rPr>
                <w:rFonts w:ascii="Book Antiqua" w:hAnsi="Book Antiqua"/>
                <w:b/>
                <w:bCs/>
                <w:sz w:val="24"/>
                <w:szCs w:val="24"/>
              </w:rPr>
            </w:pPr>
          </w:p>
          <w:p w14:paraId="22262109" w14:textId="77777777" w:rsidR="00911B9D" w:rsidRPr="00911B9D" w:rsidRDefault="00911B9D" w:rsidP="00911B9D">
            <w:pPr>
              <w:jc w:val="center"/>
              <w:rPr>
                <w:rFonts w:ascii="Book Antiqua" w:hAnsi="Book Antiqua"/>
                <w:b/>
                <w:bCs/>
                <w:sz w:val="24"/>
                <w:szCs w:val="24"/>
              </w:rPr>
            </w:pPr>
          </w:p>
          <w:p w14:paraId="2BCE112A" w14:textId="0BA65469" w:rsidR="00911B9D" w:rsidRPr="00911B9D" w:rsidRDefault="00096867" w:rsidP="00911B9D">
            <w:pPr>
              <w:jc w:val="center"/>
              <w:rPr>
                <w:rFonts w:ascii="Book Antiqua" w:hAnsi="Book Antiqua"/>
                <w:sz w:val="24"/>
                <w:szCs w:val="24"/>
              </w:rPr>
            </w:pPr>
            <w:r>
              <w:rPr>
                <w:rFonts w:ascii="Book Antiqua" w:hAnsi="Book Antiqua"/>
                <w:b/>
                <w:bCs/>
                <w:sz w:val="24"/>
                <w:szCs w:val="24"/>
              </w:rPr>
              <w:t>Javier Carrascosa</w:t>
            </w:r>
          </w:p>
          <w:p w14:paraId="4AB4225B" w14:textId="77777777" w:rsidR="001A5540" w:rsidRPr="00076C96" w:rsidRDefault="001A5540" w:rsidP="001A5540">
            <w:pPr>
              <w:tabs>
                <w:tab w:val="left" w:pos="-1440"/>
                <w:tab w:val="left" w:pos="-720"/>
                <w:tab w:val="left" w:pos="0"/>
                <w:tab w:val="left" w:pos="288"/>
                <w:tab w:val="left" w:pos="573"/>
                <w:tab w:val="left" w:pos="720"/>
              </w:tabs>
              <w:suppressAutoHyphens/>
              <w:spacing w:line="240" w:lineRule="atLeast"/>
              <w:jc w:val="center"/>
              <w:rPr>
                <w:rFonts w:ascii="Book Antiqua" w:hAnsi="Book Antiqua"/>
                <w:sz w:val="24"/>
                <w:szCs w:val="24"/>
                <w:lang w:val="es-ES_tradnl"/>
              </w:rPr>
            </w:pPr>
            <w:r w:rsidRPr="00076C96">
              <w:rPr>
                <w:rFonts w:ascii="Book Antiqua" w:hAnsi="Book Antiqua"/>
                <w:sz w:val="24"/>
                <w:szCs w:val="24"/>
                <w:lang w:val="es-ES_tradnl"/>
              </w:rPr>
              <w:t>Catedrático de Derecho internacional privado</w:t>
            </w:r>
          </w:p>
          <w:p w14:paraId="7B96D133" w14:textId="77777777" w:rsidR="001A5540" w:rsidRPr="00076C96" w:rsidRDefault="001A5540" w:rsidP="001A5540">
            <w:pPr>
              <w:tabs>
                <w:tab w:val="left" w:pos="-1440"/>
                <w:tab w:val="left" w:pos="-720"/>
                <w:tab w:val="left" w:pos="0"/>
                <w:tab w:val="left" w:pos="288"/>
                <w:tab w:val="left" w:pos="573"/>
                <w:tab w:val="left" w:pos="720"/>
              </w:tabs>
              <w:suppressAutoHyphens/>
              <w:spacing w:line="240" w:lineRule="atLeast"/>
              <w:jc w:val="center"/>
              <w:rPr>
                <w:rFonts w:ascii="Book Antiqua" w:hAnsi="Book Antiqua"/>
                <w:sz w:val="24"/>
                <w:szCs w:val="24"/>
                <w:lang w:val="es-ES_tradnl"/>
              </w:rPr>
            </w:pPr>
            <w:r w:rsidRPr="00076C96">
              <w:rPr>
                <w:rFonts w:ascii="Book Antiqua" w:hAnsi="Book Antiqua"/>
                <w:sz w:val="24"/>
                <w:szCs w:val="24"/>
                <w:lang w:val="es-ES_tradnl"/>
              </w:rPr>
              <w:t>Universidad de Murcia</w:t>
            </w:r>
          </w:p>
          <w:p w14:paraId="5680330A" w14:textId="63E4910E" w:rsidR="004A7EA3" w:rsidRDefault="001A5540" w:rsidP="001A5540">
            <w:pPr>
              <w:jc w:val="center"/>
              <w:rPr>
                <w:rFonts w:ascii="Book Antiqua" w:hAnsi="Book Antiqua"/>
                <w:lang w:val="fr-FR"/>
              </w:rPr>
            </w:pPr>
            <w:r w:rsidRPr="00076C96">
              <w:rPr>
                <w:rFonts w:ascii="Book Antiqua" w:hAnsi="Book Antiqua"/>
                <w:sz w:val="24"/>
                <w:szCs w:val="24"/>
                <w:lang w:val="de-DE"/>
              </w:rPr>
              <w:t>ORCID ID: 0000-0002-0347-7985</w:t>
            </w:r>
            <w:r w:rsidR="00911B9D">
              <w:t xml:space="preserve"> </w:t>
            </w:r>
          </w:p>
          <w:p w14:paraId="1A7005CE" w14:textId="72E91B0B" w:rsidR="00962B5E" w:rsidRPr="00A0491C" w:rsidRDefault="00962B5E" w:rsidP="00A659E0">
            <w:pPr>
              <w:jc w:val="center"/>
              <w:rPr>
                <w:rFonts w:ascii="Book Antiqua" w:hAnsi="Book Antiqua"/>
                <w:sz w:val="24"/>
                <w:szCs w:val="24"/>
              </w:rPr>
            </w:pPr>
          </w:p>
          <w:p w14:paraId="52ED4E52" w14:textId="23257D0C" w:rsidR="00192159" w:rsidRDefault="00192159" w:rsidP="004D64E8">
            <w:pPr>
              <w:jc w:val="center"/>
              <w:rPr>
                <w:rFonts w:ascii="Book Antiqua" w:eastAsia="Times New Roman" w:hAnsi="Book Antiqua"/>
                <w:sz w:val="24"/>
              </w:rPr>
            </w:pPr>
          </w:p>
          <w:p w14:paraId="703B090D" w14:textId="23D733CE" w:rsidR="001F5F99" w:rsidRDefault="001F5F99" w:rsidP="004D64E8">
            <w:pPr>
              <w:jc w:val="center"/>
              <w:rPr>
                <w:rFonts w:ascii="Book Antiqua" w:eastAsia="Times New Roman" w:hAnsi="Book Antiqua"/>
                <w:sz w:val="24"/>
              </w:rPr>
            </w:pPr>
          </w:p>
          <w:p w14:paraId="11EB37E3" w14:textId="07CBAEF9" w:rsidR="001F5F99" w:rsidRDefault="001F5F99" w:rsidP="004D64E8">
            <w:pPr>
              <w:jc w:val="center"/>
              <w:rPr>
                <w:rFonts w:ascii="Book Antiqua" w:eastAsia="Times New Roman" w:hAnsi="Book Antiqua"/>
                <w:sz w:val="24"/>
              </w:rPr>
            </w:pPr>
          </w:p>
          <w:p w14:paraId="2C044014" w14:textId="3A1B0CE4" w:rsidR="001F5F99" w:rsidRDefault="001F5F99" w:rsidP="004D64E8">
            <w:pPr>
              <w:jc w:val="center"/>
              <w:rPr>
                <w:rFonts w:ascii="Book Antiqua" w:eastAsia="Times New Roman" w:hAnsi="Book Antiqua"/>
                <w:sz w:val="24"/>
              </w:rPr>
            </w:pPr>
          </w:p>
          <w:p w14:paraId="3ACA6790" w14:textId="01F3C5E6" w:rsidR="001F5F99" w:rsidRDefault="001F5F99" w:rsidP="004D64E8">
            <w:pPr>
              <w:jc w:val="center"/>
              <w:rPr>
                <w:rFonts w:ascii="Book Antiqua" w:eastAsia="Times New Roman" w:hAnsi="Book Antiqua"/>
                <w:sz w:val="24"/>
              </w:rPr>
            </w:pPr>
          </w:p>
          <w:p w14:paraId="7FFBC013" w14:textId="78048998" w:rsidR="001F5F99" w:rsidRDefault="001F5F99" w:rsidP="004D64E8">
            <w:pPr>
              <w:jc w:val="center"/>
              <w:rPr>
                <w:rFonts w:ascii="Book Antiqua" w:eastAsia="Times New Roman" w:hAnsi="Book Antiqua"/>
                <w:sz w:val="24"/>
              </w:rPr>
            </w:pPr>
          </w:p>
          <w:p w14:paraId="611F8454" w14:textId="77777777" w:rsidR="001F5F99" w:rsidRPr="003E012B" w:rsidRDefault="001F5F99" w:rsidP="004D64E8">
            <w:pPr>
              <w:jc w:val="center"/>
              <w:rPr>
                <w:rFonts w:ascii="Book Antiqua" w:eastAsia="Times New Roman" w:hAnsi="Book Antiqua"/>
                <w:sz w:val="24"/>
              </w:rPr>
            </w:pPr>
          </w:p>
          <w:p w14:paraId="31664FE2" w14:textId="2582C24F" w:rsidR="00192159" w:rsidRPr="00687DAD" w:rsidRDefault="00192159" w:rsidP="004D64E8">
            <w:pPr>
              <w:jc w:val="center"/>
              <w:rPr>
                <w:rFonts w:ascii="Book Antiqua" w:eastAsia="Times New Roman" w:hAnsi="Book Antiqua"/>
                <w:b/>
                <w:bCs/>
              </w:rPr>
            </w:pPr>
            <w:r w:rsidRPr="00687DAD">
              <w:rPr>
                <w:rFonts w:ascii="Book Antiqua" w:eastAsia="Times New Roman" w:hAnsi="Book Antiqua"/>
                <w:b/>
                <w:bCs/>
              </w:rPr>
              <w:t>(</w:t>
            </w:r>
            <w:r w:rsidR="00096867" w:rsidRPr="00096867">
              <w:rPr>
                <w:rFonts w:ascii="Book Antiqua" w:eastAsia="Times New Roman" w:hAnsi="Book Antiqua"/>
                <w:b/>
                <w:bCs/>
              </w:rPr>
              <w:t>CARRASCOSA, Javier</w:t>
            </w:r>
            <w:r w:rsidRPr="00687DAD">
              <w:rPr>
                <w:rFonts w:ascii="Book Antiqua" w:eastAsia="Times New Roman" w:hAnsi="Book Antiqua"/>
                <w:b/>
                <w:bCs/>
              </w:rPr>
              <w:t xml:space="preserve">. </w:t>
            </w:r>
            <w:r w:rsidR="00096867" w:rsidRPr="00096867">
              <w:rPr>
                <w:rFonts w:ascii="Book Antiqua" w:hAnsi="Book Antiqua"/>
                <w:b/>
                <w:bCs/>
              </w:rPr>
              <w:t xml:space="preserve">LÓPEZ RENDO, Carmen/AZAUSTRE, María José. Sumisión y residencia habitual en el Reglamento Europeo de Sucesiones: fundamentos </w:t>
            </w:r>
            <w:proofErr w:type="spellStart"/>
            <w:r w:rsidR="00096867" w:rsidRPr="00096867">
              <w:rPr>
                <w:rFonts w:ascii="Book Antiqua" w:hAnsi="Book Antiqua"/>
                <w:b/>
                <w:bCs/>
              </w:rPr>
              <w:t>romanísticos</w:t>
            </w:r>
            <w:proofErr w:type="spellEnd"/>
            <w:r w:rsidR="00096867" w:rsidRPr="00096867">
              <w:rPr>
                <w:rFonts w:ascii="Book Antiqua" w:hAnsi="Book Antiqua"/>
                <w:b/>
                <w:bCs/>
              </w:rPr>
              <w:t xml:space="preserve">. </w:t>
            </w:r>
            <w:proofErr w:type="spellStart"/>
            <w:r w:rsidR="00096867" w:rsidRPr="00096867">
              <w:rPr>
                <w:rFonts w:ascii="Book Antiqua" w:hAnsi="Book Antiqua"/>
                <w:b/>
                <w:bCs/>
              </w:rPr>
              <w:t>RIDROM</w:t>
            </w:r>
            <w:proofErr w:type="spellEnd"/>
            <w:r w:rsidR="00096867" w:rsidRPr="00096867">
              <w:rPr>
                <w:rFonts w:ascii="Book Antiqua" w:hAnsi="Book Antiqua"/>
                <w:b/>
                <w:bCs/>
              </w:rPr>
              <w:t xml:space="preserve"> [</w:t>
            </w:r>
            <w:proofErr w:type="spellStart"/>
            <w:r w:rsidR="00096867" w:rsidRPr="00096867">
              <w:rPr>
                <w:rFonts w:ascii="Book Antiqua" w:hAnsi="Book Antiqua"/>
                <w:b/>
                <w:bCs/>
              </w:rPr>
              <w:t>on</w:t>
            </w:r>
            <w:proofErr w:type="spellEnd"/>
            <w:r w:rsidR="00096867" w:rsidRPr="00096867">
              <w:rPr>
                <w:rFonts w:ascii="Book Antiqua" w:hAnsi="Book Antiqua"/>
                <w:b/>
                <w:bCs/>
              </w:rPr>
              <w:t xml:space="preserve"> line]. 24-2020.  ISSN 1989-1970.  p. 150-260</w:t>
            </w:r>
            <w:r w:rsidR="00911B9D" w:rsidRPr="00911B9D">
              <w:rPr>
                <w:rFonts w:ascii="Book Antiqua" w:hAnsi="Book Antiqua"/>
                <w:b/>
                <w:bCs/>
                <w:sz w:val="24"/>
                <w:szCs w:val="24"/>
              </w:rPr>
              <w:t>.</w:t>
            </w:r>
            <w:r w:rsidRPr="00687DAD">
              <w:rPr>
                <w:rFonts w:ascii="Book Antiqua" w:eastAsia="Times New Roman" w:hAnsi="Book Antiqua"/>
                <w:b/>
                <w:bCs/>
              </w:rPr>
              <w:t xml:space="preserve"> </w:t>
            </w:r>
            <w:proofErr w:type="spellStart"/>
            <w:r w:rsidRPr="00687DAD">
              <w:rPr>
                <w:rFonts w:ascii="Book Antiqua" w:eastAsia="Times New Roman" w:hAnsi="Book Antiqua"/>
                <w:b/>
                <w:bCs/>
              </w:rPr>
              <w:t>RIDROM</w:t>
            </w:r>
            <w:proofErr w:type="spellEnd"/>
            <w:r w:rsidRPr="00687DAD">
              <w:rPr>
                <w:rFonts w:ascii="Book Antiqua" w:eastAsia="Times New Roman" w:hAnsi="Book Antiqua"/>
                <w:b/>
                <w:bCs/>
              </w:rPr>
              <w:t xml:space="preserve"> [</w:t>
            </w:r>
            <w:proofErr w:type="spellStart"/>
            <w:r w:rsidRPr="00687DAD">
              <w:rPr>
                <w:rFonts w:ascii="Book Antiqua" w:eastAsia="Times New Roman" w:hAnsi="Book Antiqua"/>
                <w:b/>
                <w:bCs/>
              </w:rPr>
              <w:t>on</w:t>
            </w:r>
            <w:proofErr w:type="spellEnd"/>
            <w:r w:rsidRPr="00687DAD">
              <w:rPr>
                <w:rFonts w:ascii="Book Antiqua" w:eastAsia="Times New Roman" w:hAnsi="Book Antiqua"/>
                <w:b/>
                <w:bCs/>
              </w:rPr>
              <w:t xml:space="preserve"> line]. 2</w:t>
            </w:r>
            <w:r w:rsidR="00911B9D">
              <w:rPr>
                <w:rFonts w:ascii="Book Antiqua" w:eastAsia="Times New Roman" w:hAnsi="Book Antiqua"/>
                <w:b/>
                <w:bCs/>
              </w:rPr>
              <w:t>5</w:t>
            </w:r>
            <w:r w:rsidRPr="00687DAD">
              <w:rPr>
                <w:rFonts w:ascii="Book Antiqua" w:eastAsia="Times New Roman" w:hAnsi="Book Antiqua"/>
                <w:b/>
                <w:bCs/>
              </w:rPr>
              <w:t>-20</w:t>
            </w:r>
            <w:r w:rsidR="00687DAD">
              <w:rPr>
                <w:rFonts w:ascii="Book Antiqua" w:eastAsia="Times New Roman" w:hAnsi="Book Antiqua"/>
                <w:b/>
                <w:bCs/>
              </w:rPr>
              <w:t>20</w:t>
            </w:r>
            <w:r w:rsidRPr="00687DAD">
              <w:rPr>
                <w:rFonts w:ascii="Book Antiqua" w:eastAsia="Times New Roman" w:hAnsi="Book Antiqua"/>
                <w:b/>
                <w:bCs/>
              </w:rPr>
              <w:t xml:space="preserve">.  ISSN 1989-1970.  p. </w:t>
            </w:r>
            <w:r w:rsidR="001A5540">
              <w:rPr>
                <w:rFonts w:ascii="Book Antiqua" w:eastAsia="Times New Roman" w:hAnsi="Book Antiqua"/>
                <w:b/>
                <w:bCs/>
              </w:rPr>
              <w:t>278</w:t>
            </w:r>
            <w:r w:rsidRPr="00687DAD">
              <w:rPr>
                <w:rFonts w:ascii="Book Antiqua" w:eastAsia="Times New Roman" w:hAnsi="Book Antiqua"/>
                <w:b/>
                <w:bCs/>
              </w:rPr>
              <w:t>-</w:t>
            </w:r>
            <w:r w:rsidR="00911B9D">
              <w:rPr>
                <w:rFonts w:ascii="Book Antiqua" w:eastAsia="Times New Roman" w:hAnsi="Book Antiqua"/>
                <w:b/>
                <w:bCs/>
              </w:rPr>
              <w:t>2</w:t>
            </w:r>
            <w:r w:rsidR="001A5540">
              <w:rPr>
                <w:rFonts w:ascii="Book Antiqua" w:eastAsia="Times New Roman" w:hAnsi="Book Antiqua"/>
                <w:b/>
                <w:bCs/>
              </w:rPr>
              <w:t>82</w:t>
            </w:r>
            <w:r w:rsidRPr="00687DAD">
              <w:rPr>
                <w:rFonts w:ascii="Book Antiqua" w:eastAsia="Times New Roman" w:hAnsi="Book Antiqua"/>
                <w:b/>
                <w:bCs/>
              </w:rPr>
              <w:t xml:space="preserve">. </w:t>
            </w:r>
            <w:hyperlink r:id="rId9" w:history="1">
              <w:r w:rsidRPr="00687DAD">
                <w:rPr>
                  <w:rStyle w:val="Hipervnculo"/>
                  <w:rFonts w:ascii="Book Antiqua" w:eastAsia="Times New Roman" w:hAnsi="Book Antiqua"/>
                  <w:b/>
                  <w:bCs/>
                  <w:color w:val="auto"/>
                </w:rPr>
                <w:t>http://www.ridrom.uclm.es</w:t>
              </w:r>
            </w:hyperlink>
            <w:r w:rsidRPr="00687DAD">
              <w:rPr>
                <w:rFonts w:ascii="Book Antiqua" w:eastAsia="Times New Roman" w:hAnsi="Book Antiqua"/>
                <w:b/>
                <w:bCs/>
              </w:rPr>
              <w:t>)</w:t>
            </w:r>
          </w:p>
          <w:p w14:paraId="3D135DC1" w14:textId="77777777" w:rsidR="00192159" w:rsidRPr="004D64E8" w:rsidRDefault="00192159" w:rsidP="004D64E8">
            <w:pPr>
              <w:jc w:val="center"/>
              <w:rPr>
                <w:rFonts w:ascii="Book Antiqua" w:eastAsia="Times New Roman" w:hAnsi="Book Antiqua"/>
                <w:b/>
                <w:bCs/>
              </w:rPr>
            </w:pPr>
          </w:p>
          <w:p w14:paraId="2B0087FC" w14:textId="77777777" w:rsidR="00192159" w:rsidRDefault="00192159" w:rsidP="004D64E8">
            <w:pPr>
              <w:jc w:val="center"/>
              <w:rPr>
                <w:rFonts w:ascii="Book Antiqua" w:eastAsia="Times New Roman" w:hAnsi="Book Antiqua"/>
                <w:sz w:val="24"/>
              </w:rPr>
            </w:pPr>
          </w:p>
          <w:p w14:paraId="4761FD30" w14:textId="32AF77CC" w:rsidR="00192159" w:rsidRPr="004D64E8" w:rsidRDefault="00192159" w:rsidP="00E677FC">
            <w:pPr>
              <w:jc w:val="center"/>
              <w:rPr>
                <w:rFonts w:ascii="Book Antiqua" w:eastAsia="Times New Roman" w:hAnsi="Book Antiqua"/>
                <w:sz w:val="16"/>
                <w:szCs w:val="16"/>
              </w:rPr>
            </w:pPr>
          </w:p>
        </w:tc>
      </w:tr>
    </w:tbl>
    <w:p w14:paraId="4274E143" w14:textId="77777777" w:rsidR="008C2933" w:rsidRDefault="008C2933" w:rsidP="008C2933">
      <w:pPr>
        <w:spacing w:line="20" w:lineRule="exact"/>
        <w:rPr>
          <w:rFonts w:ascii="Times New Roman" w:eastAsia="Times New Roman" w:hAnsi="Times New Roman"/>
          <w:sz w:val="24"/>
        </w:rPr>
        <w:sectPr w:rsidR="008C2933" w:rsidSect="001A5540">
          <w:headerReference w:type="default" r:id="rId10"/>
          <w:footerReference w:type="default" r:id="rId11"/>
          <w:footerReference w:type="first" r:id="rId12"/>
          <w:pgSz w:w="11900" w:h="16838"/>
          <w:pgMar w:top="737" w:right="1026" w:bottom="50" w:left="1020" w:header="340" w:footer="567" w:gutter="0"/>
          <w:pgNumType w:start="278"/>
          <w:cols w:space="0" w:equalWidth="0">
            <w:col w:w="9860"/>
          </w:cols>
          <w:titlePg/>
          <w:docGrid w:linePitch="360"/>
        </w:sectPr>
      </w:pPr>
    </w:p>
    <w:p w14:paraId="5527AC76" w14:textId="77777777" w:rsidR="00575480" w:rsidRDefault="00575480" w:rsidP="003B5DCE">
      <w:pPr>
        <w:autoSpaceDN w:val="0"/>
        <w:spacing w:line="360" w:lineRule="auto"/>
        <w:ind w:right="-1"/>
        <w:jc w:val="both"/>
        <w:rPr>
          <w:rFonts w:ascii="Book Antiqua" w:hAnsi="Book Antiqua"/>
          <w:b/>
          <w:smallCaps/>
          <w:sz w:val="28"/>
          <w:szCs w:val="28"/>
        </w:rPr>
      </w:pPr>
    </w:p>
    <w:p w14:paraId="7767CEEF" w14:textId="50E9582B" w:rsidR="001A5540" w:rsidRPr="001A5540" w:rsidRDefault="001A5540" w:rsidP="001A5540">
      <w:pPr>
        <w:tabs>
          <w:tab w:val="left" w:pos="-1440"/>
          <w:tab w:val="left" w:pos="-720"/>
          <w:tab w:val="left" w:pos="0"/>
          <w:tab w:val="left" w:pos="288"/>
          <w:tab w:val="left" w:pos="573"/>
          <w:tab w:val="left" w:pos="720"/>
        </w:tabs>
        <w:suppressAutoHyphens/>
        <w:spacing w:line="360" w:lineRule="auto"/>
        <w:jc w:val="both"/>
        <w:rPr>
          <w:rFonts w:ascii="Book Antiqua" w:hAnsi="Book Antiqua"/>
          <w:sz w:val="24"/>
          <w:szCs w:val="24"/>
        </w:rPr>
      </w:pPr>
      <w:r w:rsidRPr="001A5540">
        <w:rPr>
          <w:rFonts w:ascii="Book Antiqua" w:hAnsi="Book Antiqua"/>
          <w:sz w:val="24"/>
          <w:szCs w:val="24"/>
        </w:rPr>
        <w:t xml:space="preserve">Ha visto la luz el trabajo titulado "Sumisión y residencia habitual en el Reglamento europeo de sucesiones: fundamentos </w:t>
      </w:r>
      <w:proofErr w:type="spellStart"/>
      <w:r w:rsidRPr="001A5540">
        <w:rPr>
          <w:rFonts w:ascii="Book Antiqua" w:hAnsi="Book Antiqua"/>
          <w:sz w:val="24"/>
          <w:szCs w:val="24"/>
        </w:rPr>
        <w:t>romanísticos</w:t>
      </w:r>
      <w:proofErr w:type="spellEnd"/>
      <w:r w:rsidRPr="001A5540">
        <w:rPr>
          <w:rFonts w:ascii="Book Antiqua" w:hAnsi="Book Antiqua"/>
          <w:sz w:val="24"/>
          <w:szCs w:val="24"/>
        </w:rPr>
        <w:t xml:space="preserve">", escrito por Carmen López Rendo Profesora Titular de Derecho Romano Universidad de Oviedo y por María José </w:t>
      </w:r>
      <w:proofErr w:type="spellStart"/>
      <w:r w:rsidRPr="001A5540">
        <w:rPr>
          <w:rFonts w:ascii="Book Antiqua" w:hAnsi="Book Antiqua"/>
          <w:sz w:val="24"/>
          <w:szCs w:val="24"/>
        </w:rPr>
        <w:t>Azaustre</w:t>
      </w:r>
      <w:proofErr w:type="spellEnd"/>
      <w:r w:rsidRPr="001A5540">
        <w:rPr>
          <w:rFonts w:ascii="Book Antiqua" w:hAnsi="Book Antiqua"/>
          <w:sz w:val="24"/>
          <w:szCs w:val="24"/>
        </w:rPr>
        <w:t xml:space="preserve">, Profesora Ayudante Doctor de Derecho Romano Universidad de Oviedo, en </w:t>
      </w:r>
      <w:smartTag w:uri="urn:schemas-microsoft-com:office:smarttags" w:element="PersonName">
        <w:smartTagPr>
          <w:attr w:name="ProductID" w:val="la Revista Internacional"/>
        </w:smartTagPr>
        <w:r w:rsidRPr="001A5540">
          <w:rPr>
            <w:rFonts w:ascii="Book Antiqua" w:hAnsi="Book Antiqua"/>
            <w:sz w:val="24"/>
            <w:szCs w:val="24"/>
          </w:rPr>
          <w:t>la Revista Internacional</w:t>
        </w:r>
      </w:smartTag>
      <w:r w:rsidRPr="001A5540">
        <w:rPr>
          <w:rFonts w:ascii="Book Antiqua" w:hAnsi="Book Antiqua"/>
          <w:sz w:val="24"/>
          <w:szCs w:val="24"/>
        </w:rPr>
        <w:t xml:space="preserve"> de Derecho Romano, </w:t>
      </w:r>
      <w:proofErr w:type="spellStart"/>
      <w:r w:rsidRPr="001A5540">
        <w:rPr>
          <w:rFonts w:ascii="Book Antiqua" w:hAnsi="Book Antiqua"/>
          <w:sz w:val="24"/>
          <w:szCs w:val="24"/>
        </w:rPr>
        <w:t>nº</w:t>
      </w:r>
      <w:proofErr w:type="spellEnd"/>
      <w:r w:rsidRPr="001A5540">
        <w:rPr>
          <w:rFonts w:ascii="Book Antiqua" w:hAnsi="Book Antiqua"/>
          <w:sz w:val="24"/>
          <w:szCs w:val="24"/>
        </w:rPr>
        <w:t xml:space="preserve"> 24, abril 2020.  (</w:t>
      </w:r>
      <w:hyperlink r:id="rId13" w:history="1">
        <w:r w:rsidRPr="001A5540">
          <w:rPr>
            <w:rStyle w:val="Hipervnculo"/>
            <w:rFonts w:ascii="Book Antiqua" w:hAnsi="Book Antiqua"/>
            <w:sz w:val="24"/>
            <w:szCs w:val="24"/>
          </w:rPr>
          <w:t>http://www.ridrom.u</w:t>
        </w:r>
        <w:r w:rsidRPr="001A5540">
          <w:rPr>
            <w:rStyle w:val="Hipervnculo"/>
            <w:rFonts w:ascii="Book Antiqua" w:hAnsi="Book Antiqua"/>
            <w:sz w:val="24"/>
            <w:szCs w:val="24"/>
          </w:rPr>
          <w:t>c</w:t>
        </w:r>
        <w:r w:rsidRPr="001A5540">
          <w:rPr>
            <w:rStyle w:val="Hipervnculo"/>
            <w:rFonts w:ascii="Book Antiqua" w:hAnsi="Book Antiqua"/>
            <w:sz w:val="24"/>
            <w:szCs w:val="24"/>
          </w:rPr>
          <w:t>lm.es/documento</w:t>
        </w:r>
        <w:r w:rsidRPr="001A5540">
          <w:rPr>
            <w:rStyle w:val="Hipervnculo"/>
            <w:rFonts w:ascii="Book Antiqua" w:hAnsi="Book Antiqua"/>
            <w:sz w:val="24"/>
            <w:szCs w:val="24"/>
          </w:rPr>
          <w:t>s</w:t>
        </w:r>
        <w:r w:rsidRPr="001A5540">
          <w:rPr>
            <w:rStyle w:val="Hipervnculo"/>
            <w:rFonts w:ascii="Book Antiqua" w:hAnsi="Book Antiqua"/>
            <w:sz w:val="24"/>
            <w:szCs w:val="24"/>
          </w:rPr>
          <w:t>24/lopez24.pdf</w:t>
        </w:r>
      </w:hyperlink>
      <w:r w:rsidRPr="001A5540">
        <w:rPr>
          <w:rFonts w:ascii="Book Antiqua" w:hAnsi="Book Antiqua"/>
          <w:sz w:val="24"/>
          <w:szCs w:val="24"/>
        </w:rPr>
        <w:t xml:space="preserve">). Se trata de un estudio de 116 </w:t>
      </w:r>
      <w:r w:rsidRPr="001A5540">
        <w:rPr>
          <w:rFonts w:ascii="Book Antiqua" w:hAnsi="Book Antiqua"/>
          <w:sz w:val="24"/>
          <w:szCs w:val="24"/>
        </w:rPr>
        <w:t>páginas</w:t>
      </w:r>
      <w:r w:rsidRPr="001A5540">
        <w:rPr>
          <w:rFonts w:ascii="Book Antiqua" w:hAnsi="Book Antiqua"/>
          <w:sz w:val="24"/>
          <w:szCs w:val="24"/>
        </w:rPr>
        <w:t xml:space="preserve"> que constituye, en realidad, una auténtica monografía sobre el tema.</w:t>
      </w:r>
    </w:p>
    <w:p w14:paraId="647AB137" w14:textId="77777777" w:rsidR="001A5540" w:rsidRPr="001A5540" w:rsidRDefault="001A5540" w:rsidP="001A5540">
      <w:pPr>
        <w:tabs>
          <w:tab w:val="left" w:pos="-1440"/>
          <w:tab w:val="left" w:pos="-720"/>
          <w:tab w:val="left" w:pos="0"/>
          <w:tab w:val="left" w:pos="288"/>
          <w:tab w:val="left" w:pos="573"/>
          <w:tab w:val="left" w:pos="720"/>
        </w:tabs>
        <w:suppressAutoHyphens/>
        <w:spacing w:line="360" w:lineRule="auto"/>
        <w:jc w:val="both"/>
        <w:rPr>
          <w:rFonts w:ascii="Book Antiqua" w:hAnsi="Book Antiqua"/>
          <w:sz w:val="24"/>
          <w:szCs w:val="24"/>
        </w:rPr>
      </w:pPr>
    </w:p>
    <w:p w14:paraId="51ED77B3" w14:textId="77777777" w:rsidR="001A5540" w:rsidRPr="001A5540" w:rsidRDefault="001A5540" w:rsidP="001A5540">
      <w:pPr>
        <w:tabs>
          <w:tab w:val="left" w:pos="-1440"/>
          <w:tab w:val="left" w:pos="-720"/>
          <w:tab w:val="left" w:pos="0"/>
          <w:tab w:val="left" w:pos="288"/>
          <w:tab w:val="left" w:pos="573"/>
          <w:tab w:val="left" w:pos="720"/>
        </w:tabs>
        <w:suppressAutoHyphens/>
        <w:spacing w:line="360" w:lineRule="auto"/>
        <w:jc w:val="both"/>
        <w:rPr>
          <w:rFonts w:ascii="Book Antiqua" w:hAnsi="Book Antiqua"/>
          <w:sz w:val="24"/>
          <w:szCs w:val="24"/>
        </w:rPr>
      </w:pPr>
      <w:r w:rsidRPr="001A5540">
        <w:rPr>
          <w:rFonts w:ascii="Book Antiqua" w:hAnsi="Book Antiqua"/>
          <w:sz w:val="24"/>
          <w:szCs w:val="24"/>
        </w:rPr>
        <w:tab/>
        <w:t xml:space="preserve">El objeto del trabajo es el Reglamento Europeo de Sucesiones 650/2012 y en concreto dos de los elementos que el </w:t>
      </w:r>
      <w:proofErr w:type="gramStart"/>
      <w:r w:rsidRPr="001A5540">
        <w:rPr>
          <w:rFonts w:ascii="Book Antiqua" w:hAnsi="Book Antiqua"/>
          <w:sz w:val="24"/>
          <w:szCs w:val="24"/>
        </w:rPr>
        <w:t>mismo toma</w:t>
      </w:r>
      <w:proofErr w:type="gramEnd"/>
      <w:r w:rsidRPr="001A5540">
        <w:rPr>
          <w:rFonts w:ascii="Book Antiqua" w:hAnsi="Book Antiqua"/>
          <w:sz w:val="24"/>
          <w:szCs w:val="24"/>
        </w:rPr>
        <w:t xml:space="preserve"> como foros de competencia internacional para determinar la autoridad pública, -normalmente un tribunal-, que es competente para decidir los litigios derivados de una sucesión </w:t>
      </w:r>
      <w:r w:rsidRPr="001A5540">
        <w:rPr>
          <w:rFonts w:ascii="Book Antiqua" w:hAnsi="Book Antiqua"/>
          <w:i/>
          <w:sz w:val="24"/>
          <w:szCs w:val="24"/>
        </w:rPr>
        <w:t>mortis causa</w:t>
      </w:r>
      <w:r w:rsidRPr="001A5540">
        <w:rPr>
          <w:rFonts w:ascii="Book Antiqua" w:hAnsi="Book Antiqua"/>
          <w:sz w:val="24"/>
          <w:szCs w:val="24"/>
        </w:rPr>
        <w:t xml:space="preserve"> con elementos extranjeros. Tales elementos son la sumisión, -el acuerdo entre las partes para litigar ante los tribunales de un concreto Estado miembro-, y la residencia habitual del causante. El estudio se centra en la competencia </w:t>
      </w:r>
      <w:proofErr w:type="gramStart"/>
      <w:r w:rsidRPr="001A5540">
        <w:rPr>
          <w:rFonts w:ascii="Book Antiqua" w:hAnsi="Book Antiqua"/>
          <w:sz w:val="24"/>
          <w:szCs w:val="24"/>
        </w:rPr>
        <w:t>judicial</w:t>
      </w:r>
      <w:proofErr w:type="gramEnd"/>
      <w:r w:rsidRPr="001A5540">
        <w:rPr>
          <w:rFonts w:ascii="Book Antiqua" w:hAnsi="Book Antiqua"/>
          <w:sz w:val="24"/>
          <w:szCs w:val="24"/>
        </w:rPr>
        <w:t xml:space="preserve"> aunque ofrece también datos de interés desde el punto de vista </w:t>
      </w:r>
      <w:smartTag w:uri="urn:schemas-microsoft-com:office:smarttags" w:element="PersonName">
        <w:smartTagPr>
          <w:attr w:name="ProductID" w:val="la Ley"/>
        </w:smartTagPr>
        <w:r w:rsidRPr="001A5540">
          <w:rPr>
            <w:rFonts w:ascii="Book Antiqua" w:hAnsi="Book Antiqua"/>
            <w:sz w:val="24"/>
            <w:szCs w:val="24"/>
          </w:rPr>
          <w:t>la Ley</w:t>
        </w:r>
      </w:smartTag>
      <w:r w:rsidRPr="001A5540">
        <w:rPr>
          <w:rFonts w:ascii="Book Antiqua" w:hAnsi="Book Antiqua"/>
          <w:sz w:val="24"/>
          <w:szCs w:val="24"/>
        </w:rPr>
        <w:t xml:space="preserve"> aplicable a la sucesión </w:t>
      </w:r>
      <w:r w:rsidRPr="001A5540">
        <w:rPr>
          <w:rFonts w:ascii="Book Antiqua" w:hAnsi="Book Antiqua"/>
          <w:i/>
          <w:sz w:val="24"/>
          <w:szCs w:val="24"/>
        </w:rPr>
        <w:t>mortis causa</w:t>
      </w:r>
      <w:r w:rsidRPr="001A5540">
        <w:rPr>
          <w:rFonts w:ascii="Book Antiqua" w:hAnsi="Book Antiqua"/>
          <w:sz w:val="24"/>
          <w:szCs w:val="24"/>
        </w:rPr>
        <w:t>.</w:t>
      </w:r>
    </w:p>
    <w:p w14:paraId="1E15FD60" w14:textId="77777777" w:rsidR="001A5540" w:rsidRPr="001A5540" w:rsidRDefault="001A5540" w:rsidP="001A5540">
      <w:pPr>
        <w:spacing w:line="360" w:lineRule="auto"/>
        <w:jc w:val="both"/>
        <w:rPr>
          <w:rFonts w:ascii="Book Antiqua" w:hAnsi="Book Antiqua"/>
          <w:sz w:val="24"/>
          <w:szCs w:val="24"/>
        </w:rPr>
      </w:pPr>
    </w:p>
    <w:p w14:paraId="4CA5FC34" w14:textId="77777777" w:rsidR="001A5540" w:rsidRPr="001A5540" w:rsidRDefault="001A5540" w:rsidP="001A5540">
      <w:pPr>
        <w:tabs>
          <w:tab w:val="left" w:pos="-1440"/>
          <w:tab w:val="left" w:pos="-720"/>
          <w:tab w:val="left" w:pos="0"/>
          <w:tab w:val="left" w:pos="288"/>
          <w:tab w:val="left" w:pos="573"/>
          <w:tab w:val="left" w:pos="720"/>
        </w:tabs>
        <w:suppressAutoHyphens/>
        <w:spacing w:line="360" w:lineRule="auto"/>
        <w:jc w:val="both"/>
        <w:rPr>
          <w:rFonts w:ascii="Book Antiqua" w:hAnsi="Book Antiqua"/>
          <w:sz w:val="24"/>
          <w:szCs w:val="24"/>
        </w:rPr>
      </w:pPr>
      <w:r w:rsidRPr="001A5540">
        <w:rPr>
          <w:rFonts w:ascii="Book Antiqua" w:hAnsi="Book Antiqua"/>
          <w:sz w:val="24"/>
          <w:szCs w:val="24"/>
        </w:rPr>
        <w:tab/>
        <w:t>Se trata de un trabajo sumamente valioso. En primer lugar, porque el tema elegido como objeto de la investigación presenta un carácter práctico pero que, al mismo tiempo, necesita un profundo conocimiento de la dogmática jurídica más concluyente.</w:t>
      </w:r>
    </w:p>
    <w:p w14:paraId="16C936CD" w14:textId="23767233" w:rsidR="001A5540" w:rsidRPr="001A5540" w:rsidRDefault="001A5540" w:rsidP="001A5540">
      <w:pPr>
        <w:tabs>
          <w:tab w:val="left" w:pos="-1440"/>
          <w:tab w:val="left" w:pos="-720"/>
          <w:tab w:val="left" w:pos="0"/>
          <w:tab w:val="left" w:pos="288"/>
          <w:tab w:val="left" w:pos="573"/>
          <w:tab w:val="left" w:pos="720"/>
        </w:tabs>
        <w:suppressAutoHyphens/>
        <w:spacing w:line="360" w:lineRule="auto"/>
        <w:jc w:val="both"/>
        <w:rPr>
          <w:rFonts w:ascii="Book Antiqua" w:hAnsi="Book Antiqua"/>
          <w:sz w:val="24"/>
          <w:szCs w:val="24"/>
        </w:rPr>
      </w:pPr>
      <w:r>
        <w:rPr>
          <w:rFonts w:ascii="Book Antiqua" w:hAnsi="Book Antiqua"/>
          <w:sz w:val="24"/>
          <w:szCs w:val="24"/>
        </w:rPr>
        <w:tab/>
      </w:r>
      <w:r w:rsidRPr="001A5540">
        <w:rPr>
          <w:rFonts w:ascii="Book Antiqua" w:hAnsi="Book Antiqua"/>
          <w:sz w:val="24"/>
          <w:szCs w:val="24"/>
        </w:rPr>
        <w:t xml:space="preserve">En segundo lugar, porque sus fundamentos doctrinales son sólidos. No hay tesis, hipótesis, propuesta o conclusión que no aparezca bien apoyada en los más robustos pilares jurisprudenciales y doctrinales. En tercer lugar, porque pone el acento en la fase de la competencia judicial como </w:t>
      </w:r>
      <w:proofErr w:type="spellStart"/>
      <w:r w:rsidRPr="001A5540">
        <w:rPr>
          <w:rFonts w:ascii="Book Antiqua" w:hAnsi="Book Antiqua"/>
          <w:i/>
          <w:sz w:val="24"/>
          <w:szCs w:val="24"/>
        </w:rPr>
        <w:t>prius</w:t>
      </w:r>
      <w:proofErr w:type="spellEnd"/>
      <w:r w:rsidRPr="001A5540">
        <w:rPr>
          <w:rFonts w:ascii="Book Antiqua" w:hAnsi="Book Antiqua"/>
          <w:sz w:val="24"/>
          <w:szCs w:val="24"/>
        </w:rPr>
        <w:t xml:space="preserve"> fundamental de todo proceso. Con frecuencia, numerosas reflexiones teóricas se pierden en bizantinos </w:t>
      </w:r>
      <w:proofErr w:type="gramStart"/>
      <w:r w:rsidRPr="001A5540">
        <w:rPr>
          <w:rFonts w:ascii="Book Antiqua" w:hAnsi="Book Antiqua"/>
          <w:sz w:val="24"/>
          <w:szCs w:val="24"/>
        </w:rPr>
        <w:t>debates</w:t>
      </w:r>
      <w:proofErr w:type="gramEnd"/>
      <w:r w:rsidRPr="001A5540">
        <w:rPr>
          <w:rFonts w:ascii="Book Antiqua" w:hAnsi="Book Antiqua"/>
          <w:sz w:val="24"/>
          <w:szCs w:val="24"/>
        </w:rPr>
        <w:t xml:space="preserve"> pero olvidan que antes, siempre antes, es preciso concretar qué tribunal </w:t>
      </w:r>
      <w:r w:rsidRPr="001A5540">
        <w:rPr>
          <w:rFonts w:ascii="Book Antiqua" w:hAnsi="Book Antiqua"/>
          <w:sz w:val="24"/>
          <w:szCs w:val="24"/>
        </w:rPr>
        <w:lastRenderedPageBreak/>
        <w:t>de qué Estado es competente para conocer de un asunto litigioso transfronterizo. En cuarto lugar, porque es un estudio del que aprende todo jurista inquieto ansioso por progresar. El conocimiento jurídico avanza con trabajos como el que recensiona.</w:t>
      </w:r>
    </w:p>
    <w:p w14:paraId="40481D21" w14:textId="77777777" w:rsidR="001A5540" w:rsidRPr="001A5540" w:rsidRDefault="001A5540" w:rsidP="001A5540">
      <w:pPr>
        <w:tabs>
          <w:tab w:val="left" w:pos="-1440"/>
          <w:tab w:val="left" w:pos="-720"/>
          <w:tab w:val="left" w:pos="0"/>
          <w:tab w:val="left" w:pos="288"/>
          <w:tab w:val="left" w:pos="573"/>
          <w:tab w:val="left" w:pos="720"/>
        </w:tabs>
        <w:suppressAutoHyphens/>
        <w:spacing w:line="360" w:lineRule="auto"/>
        <w:jc w:val="both"/>
        <w:rPr>
          <w:rFonts w:ascii="Book Antiqua" w:hAnsi="Book Antiqua"/>
          <w:sz w:val="24"/>
          <w:szCs w:val="24"/>
        </w:rPr>
      </w:pPr>
      <w:r w:rsidRPr="001A5540">
        <w:rPr>
          <w:rFonts w:ascii="Book Antiqua" w:hAnsi="Book Antiqua"/>
          <w:sz w:val="24"/>
          <w:szCs w:val="24"/>
        </w:rPr>
        <w:t xml:space="preserve"> </w:t>
      </w:r>
    </w:p>
    <w:p w14:paraId="29925FD8" w14:textId="77777777" w:rsidR="001A5540" w:rsidRPr="001A5540" w:rsidRDefault="001A5540" w:rsidP="001A5540">
      <w:pPr>
        <w:tabs>
          <w:tab w:val="left" w:pos="-1440"/>
          <w:tab w:val="left" w:pos="-720"/>
          <w:tab w:val="left" w:pos="0"/>
          <w:tab w:val="left" w:pos="288"/>
          <w:tab w:val="left" w:pos="573"/>
          <w:tab w:val="left" w:pos="720"/>
        </w:tabs>
        <w:suppressAutoHyphens/>
        <w:spacing w:line="360" w:lineRule="auto"/>
        <w:jc w:val="both"/>
        <w:rPr>
          <w:rFonts w:ascii="Book Antiqua" w:hAnsi="Book Antiqua"/>
          <w:spacing w:val="-3"/>
          <w:sz w:val="24"/>
          <w:szCs w:val="24"/>
          <w:lang w:val="es-ES_tradnl"/>
        </w:rPr>
      </w:pPr>
      <w:r w:rsidRPr="001A5540">
        <w:rPr>
          <w:rFonts w:ascii="Book Antiqua" w:hAnsi="Book Antiqua"/>
          <w:sz w:val="24"/>
          <w:szCs w:val="24"/>
        </w:rPr>
        <w:tab/>
        <w:t xml:space="preserve">Hace ya unos años, </w:t>
      </w:r>
      <w:r w:rsidRPr="001A5540">
        <w:rPr>
          <w:rFonts w:ascii="Book Antiqua" w:hAnsi="Book Antiqua"/>
          <w:smallCaps/>
          <w:sz w:val="24"/>
          <w:szCs w:val="24"/>
        </w:rPr>
        <w:t xml:space="preserve">Ch. </w:t>
      </w:r>
      <w:proofErr w:type="spellStart"/>
      <w:r w:rsidRPr="001A5540">
        <w:rPr>
          <w:rFonts w:ascii="Book Antiqua" w:hAnsi="Book Antiqua"/>
          <w:smallCaps/>
          <w:sz w:val="24"/>
          <w:szCs w:val="24"/>
        </w:rPr>
        <w:t>Baldus</w:t>
      </w:r>
      <w:proofErr w:type="spellEnd"/>
      <w:r w:rsidRPr="001A5540">
        <w:rPr>
          <w:rFonts w:ascii="Book Antiqua" w:hAnsi="Book Antiqua"/>
          <w:sz w:val="24"/>
          <w:szCs w:val="24"/>
        </w:rPr>
        <w:t xml:space="preserve"> escribió que las diferencias entre los Derechos nacionales relativos a las sucesiones </w:t>
      </w:r>
      <w:r w:rsidRPr="001A5540">
        <w:rPr>
          <w:rFonts w:ascii="Book Antiqua" w:hAnsi="Book Antiqua"/>
          <w:i/>
          <w:sz w:val="24"/>
          <w:szCs w:val="24"/>
        </w:rPr>
        <w:t>mortis causa</w:t>
      </w:r>
      <w:r w:rsidRPr="001A5540">
        <w:rPr>
          <w:rFonts w:ascii="Book Antiqua" w:hAnsi="Book Antiqua"/>
          <w:sz w:val="24"/>
          <w:szCs w:val="24"/>
        </w:rPr>
        <w:t xml:space="preserve"> se han exagerado de manera desproporcionada. La frase de este autor resulta reveladora. Al final, expresa </w:t>
      </w:r>
      <w:r w:rsidRPr="001A5540">
        <w:rPr>
          <w:rFonts w:ascii="Book Antiqua" w:hAnsi="Book Antiqua"/>
          <w:smallCaps/>
          <w:sz w:val="24"/>
          <w:szCs w:val="24"/>
        </w:rPr>
        <w:t xml:space="preserve">Ch. </w:t>
      </w:r>
      <w:proofErr w:type="spellStart"/>
      <w:r w:rsidRPr="001A5540">
        <w:rPr>
          <w:rFonts w:ascii="Book Antiqua" w:hAnsi="Book Antiqua"/>
          <w:smallCaps/>
          <w:sz w:val="24"/>
          <w:szCs w:val="24"/>
        </w:rPr>
        <w:t>Baldus</w:t>
      </w:r>
      <w:proofErr w:type="spellEnd"/>
      <w:r w:rsidRPr="001A5540">
        <w:rPr>
          <w:rFonts w:ascii="Book Antiqua" w:hAnsi="Book Antiqua"/>
          <w:sz w:val="24"/>
          <w:szCs w:val="24"/>
        </w:rPr>
        <w:t>, "</w:t>
      </w:r>
      <w:r w:rsidRPr="001A5540">
        <w:rPr>
          <w:rFonts w:ascii="Book Antiqua" w:hAnsi="Book Antiqua"/>
          <w:i/>
          <w:sz w:val="24"/>
          <w:szCs w:val="24"/>
        </w:rPr>
        <w:t>casi todo en Europa occidental es romano</w:t>
      </w:r>
      <w:r w:rsidRPr="001A5540">
        <w:rPr>
          <w:rFonts w:ascii="Book Antiqua" w:hAnsi="Book Antiqua"/>
          <w:sz w:val="24"/>
          <w:szCs w:val="24"/>
        </w:rPr>
        <w:t>" (</w:t>
      </w:r>
      <w:r w:rsidRPr="001A5540">
        <w:rPr>
          <w:rFonts w:ascii="Book Antiqua" w:hAnsi="Book Antiqua"/>
          <w:smallCaps/>
          <w:sz w:val="24"/>
          <w:szCs w:val="24"/>
        </w:rPr>
        <w:t xml:space="preserve">C. </w:t>
      </w:r>
      <w:proofErr w:type="spellStart"/>
      <w:r w:rsidRPr="001A5540">
        <w:rPr>
          <w:rFonts w:ascii="Book Antiqua" w:hAnsi="Book Antiqua"/>
          <w:smallCaps/>
          <w:sz w:val="24"/>
          <w:szCs w:val="24"/>
        </w:rPr>
        <w:t>Baldus</w:t>
      </w:r>
      <w:proofErr w:type="spellEnd"/>
      <w:r w:rsidRPr="001A5540">
        <w:rPr>
          <w:rFonts w:ascii="Book Antiqua" w:hAnsi="Book Antiqua"/>
          <w:sz w:val="24"/>
          <w:szCs w:val="24"/>
        </w:rPr>
        <w:t xml:space="preserve">, “¿Hacia un nuevo derecho sucesorio europeo?”, </w:t>
      </w:r>
      <w:r w:rsidRPr="001A5540">
        <w:rPr>
          <w:rFonts w:ascii="Book Antiqua" w:hAnsi="Book Antiqua"/>
          <w:i/>
          <w:sz w:val="24"/>
          <w:szCs w:val="24"/>
        </w:rPr>
        <w:t xml:space="preserve">Anales de </w:t>
      </w:r>
      <w:smartTag w:uri="urn:schemas-microsoft-com:office:smarttags" w:element="PersonName">
        <w:smartTagPr>
          <w:attr w:name="ProductID" w:val="la Academia Matritense"/>
        </w:smartTagPr>
        <w:r w:rsidRPr="001A5540">
          <w:rPr>
            <w:rFonts w:ascii="Book Antiqua" w:hAnsi="Book Antiqua"/>
            <w:i/>
            <w:sz w:val="24"/>
            <w:szCs w:val="24"/>
          </w:rPr>
          <w:t>la Academia Matritense</w:t>
        </w:r>
      </w:smartTag>
      <w:r w:rsidRPr="001A5540">
        <w:rPr>
          <w:rFonts w:ascii="Book Antiqua" w:hAnsi="Book Antiqua"/>
          <w:i/>
          <w:sz w:val="24"/>
          <w:szCs w:val="24"/>
        </w:rPr>
        <w:t xml:space="preserve"> del Notariado</w:t>
      </w:r>
      <w:r w:rsidRPr="001A5540">
        <w:rPr>
          <w:rFonts w:ascii="Book Antiqua" w:hAnsi="Book Antiqua"/>
          <w:sz w:val="24"/>
          <w:szCs w:val="24"/>
        </w:rPr>
        <w:t xml:space="preserve">, </w:t>
      </w:r>
      <w:proofErr w:type="spellStart"/>
      <w:r w:rsidRPr="001A5540">
        <w:rPr>
          <w:rFonts w:ascii="Book Antiqua" w:hAnsi="Book Antiqua"/>
          <w:sz w:val="24"/>
          <w:szCs w:val="24"/>
        </w:rPr>
        <w:t>nº</w:t>
      </w:r>
      <w:proofErr w:type="spellEnd"/>
      <w:r w:rsidRPr="001A5540">
        <w:rPr>
          <w:rFonts w:ascii="Book Antiqua" w:hAnsi="Book Antiqua"/>
          <w:sz w:val="24"/>
          <w:szCs w:val="24"/>
        </w:rPr>
        <w:t xml:space="preserve"> 49, 2009, pp. 419-438). Y es aquí donde de manera espontánea el jurista se pregunta si el Derecho internacional privado europeo es también romano es sus raíces, romano en su técnica jurídica y romano en sus objetivos. La conexión Derecho romano - Derecho internacional privado ha sido explorada con excesiva cautela hasta el presente y no por falta de buenas reflexiones y de mentes brillantes como las de </w:t>
      </w:r>
      <w:r w:rsidRPr="001A5540">
        <w:rPr>
          <w:rFonts w:ascii="Book Antiqua" w:hAnsi="Book Antiqua"/>
          <w:smallCaps/>
          <w:sz w:val="24"/>
          <w:szCs w:val="24"/>
        </w:rPr>
        <w:t xml:space="preserve">W. </w:t>
      </w:r>
      <w:proofErr w:type="spellStart"/>
      <w:r w:rsidRPr="001A5540">
        <w:rPr>
          <w:rFonts w:ascii="Book Antiqua" w:hAnsi="Book Antiqua"/>
          <w:smallCaps/>
          <w:sz w:val="24"/>
          <w:szCs w:val="24"/>
        </w:rPr>
        <w:t>Niederer</w:t>
      </w:r>
      <w:proofErr w:type="spellEnd"/>
      <w:r w:rsidRPr="001A5540">
        <w:rPr>
          <w:rFonts w:ascii="Book Antiqua" w:hAnsi="Book Antiqua"/>
          <w:sz w:val="24"/>
          <w:szCs w:val="24"/>
        </w:rPr>
        <w:t xml:space="preserve"> y </w:t>
      </w:r>
      <w:r w:rsidRPr="001A5540">
        <w:rPr>
          <w:rFonts w:ascii="Book Antiqua" w:hAnsi="Book Antiqua"/>
          <w:smallCaps/>
          <w:sz w:val="24"/>
          <w:szCs w:val="24"/>
        </w:rPr>
        <w:t xml:space="preserve">F. </w:t>
      </w:r>
      <w:proofErr w:type="spellStart"/>
      <w:r w:rsidRPr="001A5540">
        <w:rPr>
          <w:rFonts w:ascii="Book Antiqua" w:hAnsi="Book Antiqua"/>
          <w:smallCaps/>
          <w:sz w:val="24"/>
          <w:szCs w:val="24"/>
        </w:rPr>
        <w:t>Sturm</w:t>
      </w:r>
      <w:proofErr w:type="spellEnd"/>
      <w:r w:rsidRPr="001A5540">
        <w:rPr>
          <w:rFonts w:ascii="Book Antiqua" w:hAnsi="Book Antiqua"/>
          <w:sz w:val="24"/>
          <w:szCs w:val="24"/>
        </w:rPr>
        <w:t xml:space="preserve"> (</w:t>
      </w:r>
      <w:r w:rsidRPr="001A5540">
        <w:rPr>
          <w:rFonts w:ascii="Book Antiqua" w:hAnsi="Book Antiqua"/>
          <w:smallCaps/>
          <w:sz w:val="24"/>
          <w:szCs w:val="24"/>
        </w:rPr>
        <w:t xml:space="preserve">W. </w:t>
      </w:r>
      <w:proofErr w:type="spellStart"/>
      <w:r w:rsidRPr="001A5540">
        <w:rPr>
          <w:rFonts w:ascii="Book Antiqua" w:hAnsi="Book Antiqua"/>
          <w:smallCaps/>
          <w:sz w:val="24"/>
          <w:szCs w:val="24"/>
        </w:rPr>
        <w:t>Niederer</w:t>
      </w:r>
      <w:proofErr w:type="spellEnd"/>
      <w:r w:rsidRPr="001A5540">
        <w:rPr>
          <w:rFonts w:ascii="Book Antiqua" w:hAnsi="Book Antiqua"/>
          <w:sz w:val="24"/>
          <w:szCs w:val="24"/>
        </w:rPr>
        <w:t>, “</w:t>
      </w:r>
      <w:proofErr w:type="spellStart"/>
      <w:r w:rsidRPr="001A5540">
        <w:rPr>
          <w:rFonts w:ascii="Book Antiqua" w:hAnsi="Book Antiqua"/>
          <w:sz w:val="24"/>
          <w:szCs w:val="24"/>
        </w:rPr>
        <w:t>Ceterum</w:t>
      </w:r>
      <w:proofErr w:type="spellEnd"/>
      <w:r w:rsidRPr="001A5540">
        <w:rPr>
          <w:rFonts w:ascii="Book Antiqua" w:hAnsi="Book Antiqua"/>
          <w:sz w:val="24"/>
          <w:szCs w:val="24"/>
        </w:rPr>
        <w:t xml:space="preserve"> </w:t>
      </w:r>
      <w:proofErr w:type="spellStart"/>
      <w:r w:rsidRPr="001A5540">
        <w:rPr>
          <w:rFonts w:ascii="Book Antiqua" w:hAnsi="Book Antiqua"/>
          <w:sz w:val="24"/>
          <w:szCs w:val="24"/>
        </w:rPr>
        <w:t>quaero</w:t>
      </w:r>
      <w:proofErr w:type="spellEnd"/>
      <w:r w:rsidRPr="001A5540">
        <w:rPr>
          <w:rFonts w:ascii="Book Antiqua" w:hAnsi="Book Antiqua"/>
          <w:sz w:val="24"/>
          <w:szCs w:val="24"/>
        </w:rPr>
        <w:t xml:space="preserve"> de </w:t>
      </w:r>
      <w:proofErr w:type="spellStart"/>
      <w:r w:rsidRPr="001A5540">
        <w:rPr>
          <w:rFonts w:ascii="Book Antiqua" w:hAnsi="Book Antiqua"/>
          <w:sz w:val="24"/>
          <w:szCs w:val="24"/>
        </w:rPr>
        <w:t>legum</w:t>
      </w:r>
      <w:proofErr w:type="spellEnd"/>
      <w:r w:rsidRPr="001A5540">
        <w:rPr>
          <w:rFonts w:ascii="Book Antiqua" w:hAnsi="Book Antiqua"/>
          <w:sz w:val="24"/>
          <w:szCs w:val="24"/>
        </w:rPr>
        <w:t xml:space="preserve"> </w:t>
      </w:r>
      <w:proofErr w:type="spellStart"/>
      <w:r w:rsidRPr="001A5540">
        <w:rPr>
          <w:rFonts w:ascii="Book Antiqua" w:hAnsi="Book Antiqua"/>
          <w:sz w:val="24"/>
          <w:szCs w:val="24"/>
        </w:rPr>
        <w:t>imperii</w:t>
      </w:r>
      <w:proofErr w:type="spellEnd"/>
      <w:r w:rsidRPr="001A5540">
        <w:rPr>
          <w:rFonts w:ascii="Book Antiqua" w:hAnsi="Book Antiqua"/>
          <w:sz w:val="24"/>
          <w:szCs w:val="24"/>
        </w:rPr>
        <w:t xml:space="preserve"> </w:t>
      </w:r>
      <w:proofErr w:type="spellStart"/>
      <w:r w:rsidRPr="001A5540">
        <w:rPr>
          <w:rFonts w:ascii="Book Antiqua" w:hAnsi="Book Antiqua"/>
          <w:sz w:val="24"/>
          <w:szCs w:val="24"/>
        </w:rPr>
        <w:t>romani</w:t>
      </w:r>
      <w:proofErr w:type="spellEnd"/>
      <w:r w:rsidRPr="001A5540">
        <w:rPr>
          <w:rFonts w:ascii="Book Antiqua" w:hAnsi="Book Antiqua"/>
          <w:sz w:val="24"/>
          <w:szCs w:val="24"/>
        </w:rPr>
        <w:t xml:space="preserve"> </w:t>
      </w:r>
      <w:proofErr w:type="spellStart"/>
      <w:r w:rsidRPr="001A5540">
        <w:rPr>
          <w:rFonts w:ascii="Book Antiqua" w:hAnsi="Book Antiqua"/>
          <w:sz w:val="24"/>
          <w:szCs w:val="24"/>
        </w:rPr>
        <w:t>conflictu</w:t>
      </w:r>
      <w:proofErr w:type="spellEnd"/>
      <w:r w:rsidRPr="001A5540">
        <w:rPr>
          <w:rFonts w:ascii="Book Antiqua" w:hAnsi="Book Antiqua"/>
          <w:sz w:val="24"/>
          <w:szCs w:val="24"/>
        </w:rPr>
        <w:t xml:space="preserve">”, </w:t>
      </w:r>
      <w:proofErr w:type="spellStart"/>
      <w:r w:rsidRPr="001A5540">
        <w:rPr>
          <w:rFonts w:ascii="Book Antiqua" w:hAnsi="Book Antiqua"/>
          <w:i/>
          <w:sz w:val="24"/>
          <w:szCs w:val="24"/>
        </w:rPr>
        <w:t>RCDIP</w:t>
      </w:r>
      <w:proofErr w:type="spellEnd"/>
      <w:r w:rsidRPr="001A5540">
        <w:rPr>
          <w:rFonts w:ascii="Book Antiqua" w:hAnsi="Book Antiqua"/>
          <w:sz w:val="24"/>
          <w:szCs w:val="24"/>
        </w:rPr>
        <w:t xml:space="preserve">, 1960, pp. 137-150; </w:t>
      </w:r>
      <w:r w:rsidRPr="001A5540">
        <w:rPr>
          <w:rFonts w:ascii="Book Antiqua" w:hAnsi="Book Antiqua"/>
          <w:smallCaps/>
          <w:sz w:val="24"/>
          <w:szCs w:val="24"/>
        </w:rPr>
        <w:t xml:space="preserve">F. </w:t>
      </w:r>
      <w:proofErr w:type="spellStart"/>
      <w:r w:rsidRPr="001A5540">
        <w:rPr>
          <w:rFonts w:ascii="Book Antiqua" w:hAnsi="Book Antiqua"/>
          <w:smallCaps/>
          <w:sz w:val="24"/>
          <w:szCs w:val="24"/>
        </w:rPr>
        <w:t>Sturm</w:t>
      </w:r>
      <w:proofErr w:type="spellEnd"/>
      <w:r w:rsidRPr="001A5540">
        <w:rPr>
          <w:rFonts w:ascii="Book Antiqua" w:hAnsi="Book Antiqua"/>
          <w:sz w:val="24"/>
          <w:szCs w:val="24"/>
        </w:rPr>
        <w:t>, “</w:t>
      </w:r>
      <w:proofErr w:type="spellStart"/>
      <w:r w:rsidRPr="001A5540">
        <w:rPr>
          <w:rFonts w:ascii="Book Antiqua" w:hAnsi="Book Antiqua"/>
          <w:sz w:val="24"/>
          <w:szCs w:val="24"/>
        </w:rPr>
        <w:t>Comment</w:t>
      </w:r>
      <w:proofErr w:type="spellEnd"/>
      <w:r w:rsidRPr="001A5540">
        <w:rPr>
          <w:rFonts w:ascii="Book Antiqua" w:hAnsi="Book Antiqua"/>
          <w:sz w:val="24"/>
          <w:szCs w:val="24"/>
        </w:rPr>
        <w:t xml:space="preserve"> </w:t>
      </w:r>
      <w:proofErr w:type="spellStart"/>
      <w:r w:rsidRPr="001A5540">
        <w:rPr>
          <w:rFonts w:ascii="Book Antiqua" w:hAnsi="Book Antiqua"/>
          <w:sz w:val="24"/>
          <w:szCs w:val="24"/>
        </w:rPr>
        <w:t>l’Antiquité</w:t>
      </w:r>
      <w:proofErr w:type="spellEnd"/>
      <w:r w:rsidRPr="001A5540">
        <w:rPr>
          <w:rFonts w:ascii="Book Antiqua" w:hAnsi="Book Antiqua"/>
          <w:sz w:val="24"/>
          <w:szCs w:val="24"/>
        </w:rPr>
        <w:t xml:space="preserve"> </w:t>
      </w:r>
      <w:proofErr w:type="spellStart"/>
      <w:r w:rsidRPr="001A5540">
        <w:rPr>
          <w:rFonts w:ascii="Book Antiqua" w:hAnsi="Book Antiqua"/>
          <w:sz w:val="24"/>
          <w:szCs w:val="24"/>
        </w:rPr>
        <w:t>réglait</w:t>
      </w:r>
      <w:proofErr w:type="spellEnd"/>
      <w:r w:rsidRPr="001A5540">
        <w:rPr>
          <w:rFonts w:ascii="Book Antiqua" w:hAnsi="Book Antiqua"/>
          <w:sz w:val="24"/>
          <w:szCs w:val="24"/>
        </w:rPr>
        <w:t xml:space="preserve">-elle </w:t>
      </w:r>
      <w:proofErr w:type="spellStart"/>
      <w:r w:rsidRPr="001A5540">
        <w:rPr>
          <w:rFonts w:ascii="Book Antiqua" w:hAnsi="Book Antiqua"/>
          <w:sz w:val="24"/>
          <w:szCs w:val="24"/>
        </w:rPr>
        <w:t>ses</w:t>
      </w:r>
      <w:proofErr w:type="spellEnd"/>
      <w:r w:rsidRPr="001A5540">
        <w:rPr>
          <w:rFonts w:ascii="Book Antiqua" w:hAnsi="Book Antiqua"/>
          <w:sz w:val="24"/>
          <w:szCs w:val="24"/>
        </w:rPr>
        <w:t xml:space="preserve"> </w:t>
      </w:r>
      <w:proofErr w:type="spellStart"/>
      <w:r w:rsidRPr="001A5540">
        <w:rPr>
          <w:rFonts w:ascii="Book Antiqua" w:hAnsi="Book Antiqua"/>
          <w:sz w:val="24"/>
          <w:szCs w:val="24"/>
        </w:rPr>
        <w:t>conflits</w:t>
      </w:r>
      <w:proofErr w:type="spellEnd"/>
      <w:r w:rsidRPr="001A5540">
        <w:rPr>
          <w:rFonts w:ascii="Book Antiqua" w:hAnsi="Book Antiqua"/>
          <w:sz w:val="24"/>
          <w:szCs w:val="24"/>
        </w:rPr>
        <w:t xml:space="preserve"> de </w:t>
      </w:r>
      <w:proofErr w:type="spellStart"/>
      <w:r w:rsidRPr="001A5540">
        <w:rPr>
          <w:rFonts w:ascii="Book Antiqua" w:hAnsi="Book Antiqua"/>
          <w:sz w:val="24"/>
          <w:szCs w:val="24"/>
        </w:rPr>
        <w:t>lois</w:t>
      </w:r>
      <w:proofErr w:type="spellEnd"/>
      <w:r w:rsidRPr="001A5540">
        <w:rPr>
          <w:rFonts w:ascii="Book Antiqua" w:hAnsi="Book Antiqua"/>
          <w:sz w:val="24"/>
          <w:szCs w:val="24"/>
        </w:rPr>
        <w:t xml:space="preserve">?”, </w:t>
      </w:r>
      <w:proofErr w:type="spellStart"/>
      <w:r w:rsidRPr="001A5540">
        <w:rPr>
          <w:rFonts w:ascii="Book Antiqua" w:hAnsi="Book Antiqua"/>
          <w:i/>
          <w:iCs/>
          <w:sz w:val="24"/>
          <w:szCs w:val="24"/>
        </w:rPr>
        <w:t>JDI</w:t>
      </w:r>
      <w:proofErr w:type="spellEnd"/>
      <w:r w:rsidRPr="001A5540">
        <w:rPr>
          <w:rFonts w:ascii="Book Antiqua" w:hAnsi="Book Antiqua"/>
          <w:i/>
          <w:iCs/>
          <w:sz w:val="24"/>
          <w:szCs w:val="24"/>
        </w:rPr>
        <w:t xml:space="preserve"> </w:t>
      </w:r>
      <w:proofErr w:type="spellStart"/>
      <w:r w:rsidRPr="001A5540">
        <w:rPr>
          <w:rFonts w:ascii="Book Antiqua" w:hAnsi="Book Antiqua"/>
          <w:i/>
          <w:iCs/>
          <w:sz w:val="24"/>
          <w:szCs w:val="24"/>
        </w:rPr>
        <w:t>Clunet</w:t>
      </w:r>
      <w:proofErr w:type="spellEnd"/>
      <w:r w:rsidRPr="001A5540">
        <w:rPr>
          <w:rFonts w:ascii="Book Antiqua" w:hAnsi="Book Antiqua"/>
          <w:sz w:val="24"/>
          <w:szCs w:val="24"/>
        </w:rPr>
        <w:t xml:space="preserve">, 106, 1979, pp. 259-273). Sabido es que </w:t>
      </w:r>
      <w:r w:rsidRPr="001A5540">
        <w:rPr>
          <w:rFonts w:ascii="Book Antiqua" w:hAnsi="Book Antiqua"/>
          <w:spacing w:val="-3"/>
          <w:sz w:val="24"/>
          <w:szCs w:val="24"/>
          <w:lang w:val="es-ES_tradnl"/>
        </w:rPr>
        <w:t xml:space="preserve">las relaciones </w:t>
      </w:r>
      <w:proofErr w:type="gramStart"/>
      <w:r w:rsidRPr="001A5540">
        <w:rPr>
          <w:rFonts w:ascii="Book Antiqua" w:hAnsi="Book Antiqua"/>
          <w:spacing w:val="-3"/>
          <w:sz w:val="24"/>
          <w:szCs w:val="24"/>
          <w:lang w:val="es-ES_tradnl"/>
        </w:rPr>
        <w:t>jurídico privadas</w:t>
      </w:r>
      <w:proofErr w:type="gramEnd"/>
      <w:r w:rsidRPr="001A5540">
        <w:rPr>
          <w:rFonts w:ascii="Book Antiqua" w:hAnsi="Book Antiqua"/>
          <w:spacing w:val="-3"/>
          <w:sz w:val="24"/>
          <w:szCs w:val="24"/>
          <w:lang w:val="es-ES_tradnl"/>
        </w:rPr>
        <w:t xml:space="preserve"> entre romanos y extranjeros (</w:t>
      </w:r>
      <w:r w:rsidRPr="001A5540">
        <w:rPr>
          <w:rFonts w:ascii="Book Antiqua" w:hAnsi="Book Antiqua"/>
          <w:i/>
          <w:iCs/>
          <w:spacing w:val="-3"/>
          <w:sz w:val="24"/>
          <w:szCs w:val="24"/>
          <w:lang w:val="es-ES_tradnl"/>
        </w:rPr>
        <w:t>peregrinos</w:t>
      </w:r>
      <w:r w:rsidRPr="001A5540">
        <w:rPr>
          <w:rFonts w:ascii="Book Antiqua" w:hAnsi="Book Antiqua"/>
          <w:spacing w:val="-3"/>
          <w:sz w:val="24"/>
          <w:szCs w:val="24"/>
          <w:lang w:val="es-ES_tradnl"/>
        </w:rPr>
        <w:t xml:space="preserve">) eran reguladas por el </w:t>
      </w:r>
      <w:proofErr w:type="spellStart"/>
      <w:r w:rsidRPr="001A5540">
        <w:rPr>
          <w:rFonts w:ascii="Book Antiqua" w:hAnsi="Book Antiqua"/>
          <w:i/>
          <w:iCs/>
          <w:spacing w:val="-3"/>
          <w:sz w:val="24"/>
          <w:szCs w:val="24"/>
          <w:lang w:val="es-ES_tradnl"/>
        </w:rPr>
        <w:t>Jus</w:t>
      </w:r>
      <w:proofErr w:type="spellEnd"/>
      <w:r w:rsidRPr="001A5540">
        <w:rPr>
          <w:rFonts w:ascii="Book Antiqua" w:hAnsi="Book Antiqua"/>
          <w:i/>
          <w:iCs/>
          <w:spacing w:val="-3"/>
          <w:sz w:val="24"/>
          <w:szCs w:val="24"/>
          <w:lang w:val="es-ES_tradnl"/>
        </w:rPr>
        <w:t xml:space="preserve"> Gentium</w:t>
      </w:r>
      <w:r w:rsidRPr="001A5540">
        <w:rPr>
          <w:rFonts w:ascii="Book Antiqua" w:hAnsi="Book Antiqua"/>
          <w:spacing w:val="-3"/>
          <w:sz w:val="24"/>
          <w:szCs w:val="24"/>
          <w:lang w:val="es-ES_tradnl"/>
        </w:rPr>
        <w:t xml:space="preserve">, un cuerpo de reglas derivadas de la razón, dice la mejor doctrina, que mediante instituciones sencillas, daba solución jurídica a estas relaciones. Más allá de ello, el acierto del estudio de </w:t>
      </w:r>
      <w:r w:rsidRPr="001A5540">
        <w:rPr>
          <w:rFonts w:ascii="Book Antiqua" w:hAnsi="Book Antiqua"/>
          <w:sz w:val="24"/>
          <w:szCs w:val="24"/>
        </w:rPr>
        <w:t xml:space="preserve">Carmen López Rendo y de María José </w:t>
      </w:r>
      <w:proofErr w:type="spellStart"/>
      <w:r w:rsidRPr="001A5540">
        <w:rPr>
          <w:rFonts w:ascii="Book Antiqua" w:hAnsi="Book Antiqua"/>
          <w:sz w:val="24"/>
          <w:szCs w:val="24"/>
        </w:rPr>
        <w:t>Azaustre</w:t>
      </w:r>
      <w:proofErr w:type="spellEnd"/>
      <w:r w:rsidRPr="001A5540">
        <w:rPr>
          <w:rFonts w:ascii="Book Antiqua" w:hAnsi="Book Antiqua"/>
          <w:sz w:val="24"/>
          <w:szCs w:val="24"/>
        </w:rPr>
        <w:t>, r</w:t>
      </w:r>
      <w:proofErr w:type="spellStart"/>
      <w:r w:rsidRPr="001A5540">
        <w:rPr>
          <w:rFonts w:ascii="Book Antiqua" w:hAnsi="Book Antiqua"/>
          <w:spacing w:val="-3"/>
          <w:sz w:val="24"/>
          <w:szCs w:val="24"/>
          <w:lang w:val="es-ES_tradnl"/>
        </w:rPr>
        <w:t>adica</w:t>
      </w:r>
      <w:proofErr w:type="spellEnd"/>
      <w:r w:rsidRPr="001A5540">
        <w:rPr>
          <w:rFonts w:ascii="Book Antiqua" w:hAnsi="Book Antiqua"/>
          <w:spacing w:val="-3"/>
          <w:sz w:val="24"/>
          <w:szCs w:val="24"/>
          <w:lang w:val="es-ES_tradnl"/>
        </w:rPr>
        <w:t xml:space="preserve"> en explorar los basamentos teóricos de dos reglas fundamentales del muy importante Reglamento sucesorio europeo. Y es aquí donde el acierto de este estudio radica.</w:t>
      </w:r>
    </w:p>
    <w:p w14:paraId="6F73A7AD" w14:textId="77777777" w:rsidR="001A5540" w:rsidRPr="001A5540" w:rsidRDefault="001A5540" w:rsidP="001A5540">
      <w:pPr>
        <w:tabs>
          <w:tab w:val="left" w:pos="-1440"/>
          <w:tab w:val="left" w:pos="-720"/>
          <w:tab w:val="left" w:pos="0"/>
          <w:tab w:val="left" w:pos="288"/>
          <w:tab w:val="left" w:pos="573"/>
          <w:tab w:val="left" w:pos="720"/>
        </w:tabs>
        <w:suppressAutoHyphens/>
        <w:spacing w:line="360" w:lineRule="auto"/>
        <w:jc w:val="both"/>
        <w:rPr>
          <w:rFonts w:ascii="Book Antiqua" w:hAnsi="Book Antiqua"/>
          <w:spacing w:val="-3"/>
          <w:sz w:val="24"/>
          <w:szCs w:val="24"/>
          <w:lang w:val="es-ES_tradnl"/>
        </w:rPr>
      </w:pPr>
    </w:p>
    <w:p w14:paraId="42F47941" w14:textId="77777777" w:rsidR="001A5540" w:rsidRPr="001A5540" w:rsidRDefault="001A5540" w:rsidP="001A5540">
      <w:pPr>
        <w:tabs>
          <w:tab w:val="left" w:pos="-1440"/>
          <w:tab w:val="left" w:pos="-720"/>
          <w:tab w:val="left" w:pos="0"/>
          <w:tab w:val="left" w:pos="288"/>
          <w:tab w:val="left" w:pos="573"/>
          <w:tab w:val="left" w:pos="720"/>
        </w:tabs>
        <w:suppressAutoHyphens/>
        <w:spacing w:line="360" w:lineRule="auto"/>
        <w:jc w:val="both"/>
        <w:rPr>
          <w:rFonts w:ascii="Book Antiqua" w:hAnsi="Book Antiqua"/>
          <w:spacing w:val="-3"/>
          <w:sz w:val="24"/>
          <w:szCs w:val="24"/>
          <w:lang w:val="es-ES_tradnl"/>
        </w:rPr>
      </w:pPr>
      <w:r w:rsidRPr="001A5540">
        <w:rPr>
          <w:rFonts w:ascii="Book Antiqua" w:hAnsi="Book Antiqua"/>
          <w:spacing w:val="-3"/>
          <w:sz w:val="24"/>
          <w:szCs w:val="24"/>
          <w:lang w:val="es-ES_tradnl"/>
        </w:rPr>
        <w:tab/>
        <w:t xml:space="preserve">La sumisión es una institución eficiente: se litiga donde las partes deciden porque, en resumidas cuentas, todos los tribunales destilan Justicia y de ese modo, actor y demandado acuden al tribunal ante el cual la litigación les comporta menos costes. El genio romano fue sensible a este valor, pues todo el Derecho romano y también el Derecho jurisdiccional romano es un precipitado de reglas eficientes </w:t>
      </w:r>
      <w:r w:rsidRPr="001A5540">
        <w:rPr>
          <w:rFonts w:ascii="Book Antiqua" w:hAnsi="Book Antiqua"/>
          <w:spacing w:val="-3"/>
          <w:sz w:val="24"/>
          <w:szCs w:val="24"/>
          <w:lang w:val="es-ES_tradnl"/>
        </w:rPr>
        <w:lastRenderedPageBreak/>
        <w:t xml:space="preserve">cuyo objetivo es que las relaciones entre los particulares fluyan y se produzca el mayor nivel posible de intercambio de bienes y servicios. Por tanto, como pone de relieve este trabajo, los fundamentos axiológicos de la sumisión están presentes ya en el Derecho romano. Ello se ve apoyado por las reglas del Derecho histórico español, cuya cita no falta, desde el Fuero Juzgo a las Partidas alfonsinas pasando por el Ordenamiento de Alcalá para acabar con referencias a </w:t>
      </w:r>
      <w:smartTag w:uri="urn:schemas-microsoft-com:office:smarttags" w:element="PersonName">
        <w:smartTagPr>
          <w:attr w:name="ProductID" w:val="la Novísima Recopilación"/>
        </w:smartTagPr>
        <w:smartTag w:uri="urn:schemas-microsoft-com:office:smarttags" w:element="PersonName">
          <w:smartTagPr>
            <w:attr w:name="ProductID" w:val="la Novísima"/>
          </w:smartTagPr>
          <w:r w:rsidRPr="001A5540">
            <w:rPr>
              <w:rFonts w:ascii="Book Antiqua" w:hAnsi="Book Antiqua"/>
              <w:spacing w:val="-3"/>
              <w:sz w:val="24"/>
              <w:szCs w:val="24"/>
              <w:lang w:val="es-ES_tradnl"/>
            </w:rPr>
            <w:t>la Novísima</w:t>
          </w:r>
        </w:smartTag>
        <w:r w:rsidRPr="001A5540">
          <w:rPr>
            <w:rFonts w:ascii="Book Antiqua" w:hAnsi="Book Antiqua"/>
            <w:spacing w:val="-3"/>
            <w:sz w:val="24"/>
            <w:szCs w:val="24"/>
            <w:lang w:val="es-ES_tradnl"/>
          </w:rPr>
          <w:t xml:space="preserve"> Recopilación</w:t>
        </w:r>
      </w:smartTag>
      <w:r w:rsidRPr="001A5540">
        <w:rPr>
          <w:rFonts w:ascii="Book Antiqua" w:hAnsi="Book Antiqua"/>
          <w:spacing w:val="-3"/>
          <w:sz w:val="24"/>
          <w:szCs w:val="24"/>
          <w:lang w:val="es-ES_tradnl"/>
        </w:rPr>
        <w:t xml:space="preserve">, al Código de Comercio de Sainz de Andino de 1829 y a la ya derogada Ley de enjuiciamiento civil de 1881, cuya regulación de la competencia judicial internacional era extraordinariamente deficiente, por ser benévolos con el calificativo. Acierta también el texto cuando destaca que, no obstante, el Reglamento sucesorio europeo peca de reglamentista al exigir una pléyade de complejos requisitos que hacen de la sumisión, un negocio jurídico extremadamente complejo y que, en la práctica, será operativo en escasas ocasiones. Y no es que en Derecho romano tales requisitos no existieran, que bien que estaban presentes. Sin embargo, resulta llamativo que sea más sencillo alcanzar un acuerdo de sumisión para designar el tribunal competente para conocer de un litigio internacional sobre custodia y vistas de </w:t>
      </w:r>
      <w:proofErr w:type="gramStart"/>
      <w:r w:rsidRPr="001A5540">
        <w:rPr>
          <w:rFonts w:ascii="Book Antiqua" w:hAnsi="Book Antiqua"/>
          <w:spacing w:val="-3"/>
          <w:sz w:val="24"/>
          <w:szCs w:val="24"/>
          <w:lang w:val="es-ES_tradnl"/>
        </w:rPr>
        <w:t>un  menor</w:t>
      </w:r>
      <w:proofErr w:type="gramEnd"/>
      <w:r w:rsidRPr="001A5540">
        <w:rPr>
          <w:rFonts w:ascii="Book Antiqua" w:hAnsi="Book Antiqua"/>
          <w:spacing w:val="-3"/>
          <w:sz w:val="24"/>
          <w:szCs w:val="24"/>
          <w:lang w:val="es-ES_tradnl"/>
        </w:rPr>
        <w:t xml:space="preserve"> (</w:t>
      </w:r>
      <w:r w:rsidRPr="001A5540">
        <w:rPr>
          <w:rFonts w:ascii="Book Antiqua" w:hAnsi="Book Antiqua"/>
          <w:i/>
          <w:spacing w:val="-3"/>
          <w:sz w:val="24"/>
          <w:szCs w:val="24"/>
          <w:lang w:val="es-ES_tradnl"/>
        </w:rPr>
        <w:t>vid</w:t>
      </w:r>
      <w:r w:rsidRPr="001A5540">
        <w:rPr>
          <w:rFonts w:ascii="Book Antiqua" w:hAnsi="Book Antiqua"/>
          <w:spacing w:val="-3"/>
          <w:sz w:val="24"/>
          <w:szCs w:val="24"/>
          <w:lang w:val="es-ES_tradnl"/>
        </w:rPr>
        <w:t>. art. 12 Reglamento Bruselas II-bis), que acordar la competencia para un litigio sucesorio con elementos extranjeros (arts. 5-9 Reglamento sucesorio europeo).</w:t>
      </w:r>
    </w:p>
    <w:p w14:paraId="37DC918C" w14:textId="77777777" w:rsidR="001A5540" w:rsidRPr="001A5540" w:rsidRDefault="001A5540" w:rsidP="001A5540">
      <w:pPr>
        <w:tabs>
          <w:tab w:val="left" w:pos="-1440"/>
          <w:tab w:val="left" w:pos="-720"/>
          <w:tab w:val="left" w:pos="0"/>
          <w:tab w:val="left" w:pos="288"/>
          <w:tab w:val="left" w:pos="573"/>
          <w:tab w:val="left" w:pos="720"/>
        </w:tabs>
        <w:suppressAutoHyphens/>
        <w:spacing w:line="360" w:lineRule="auto"/>
        <w:jc w:val="both"/>
        <w:rPr>
          <w:rFonts w:ascii="Book Antiqua" w:hAnsi="Book Antiqua"/>
          <w:spacing w:val="-3"/>
          <w:sz w:val="24"/>
          <w:szCs w:val="24"/>
          <w:lang w:val="es-ES_tradnl"/>
        </w:rPr>
      </w:pPr>
    </w:p>
    <w:p w14:paraId="23C88705" w14:textId="77777777" w:rsidR="001A5540" w:rsidRPr="001A5540" w:rsidRDefault="001A5540" w:rsidP="001A5540">
      <w:pPr>
        <w:tabs>
          <w:tab w:val="left" w:pos="-1440"/>
          <w:tab w:val="left" w:pos="-720"/>
          <w:tab w:val="left" w:pos="0"/>
          <w:tab w:val="left" w:pos="288"/>
          <w:tab w:val="left" w:pos="573"/>
          <w:tab w:val="left" w:pos="720"/>
        </w:tabs>
        <w:suppressAutoHyphens/>
        <w:spacing w:line="360" w:lineRule="auto"/>
        <w:jc w:val="both"/>
        <w:rPr>
          <w:rFonts w:ascii="Book Antiqua" w:hAnsi="Book Antiqua"/>
          <w:spacing w:val="-3"/>
          <w:sz w:val="24"/>
          <w:szCs w:val="24"/>
          <w:lang w:val="es-ES_tradnl"/>
        </w:rPr>
      </w:pPr>
      <w:r w:rsidRPr="001A5540">
        <w:rPr>
          <w:rFonts w:ascii="Book Antiqua" w:hAnsi="Book Antiqua"/>
          <w:spacing w:val="-3"/>
          <w:sz w:val="24"/>
          <w:szCs w:val="24"/>
          <w:lang w:val="es-ES_tradnl"/>
        </w:rPr>
        <w:tab/>
        <w:t xml:space="preserve">En cuanto a lo relativo a la residencia habitual, es acierto del estudio que se comenta haber creado una conexión valorativa entre la "residencia habitual" como criterio general de competencia en el Reglamento sucesorio europeo (art. 4) y la noción de </w:t>
      </w:r>
      <w:proofErr w:type="spellStart"/>
      <w:r w:rsidRPr="001A5540">
        <w:rPr>
          <w:rFonts w:ascii="Book Antiqua" w:hAnsi="Book Antiqua"/>
          <w:i/>
          <w:spacing w:val="-3"/>
          <w:sz w:val="24"/>
          <w:szCs w:val="24"/>
          <w:lang w:val="es-ES_tradnl"/>
        </w:rPr>
        <w:t>domicilium</w:t>
      </w:r>
      <w:proofErr w:type="spellEnd"/>
      <w:r w:rsidRPr="001A5540">
        <w:rPr>
          <w:rFonts w:ascii="Book Antiqua" w:hAnsi="Book Antiqua"/>
          <w:spacing w:val="-3"/>
          <w:sz w:val="24"/>
          <w:szCs w:val="24"/>
          <w:lang w:val="es-ES_tradnl"/>
        </w:rPr>
        <w:t xml:space="preserve"> propia del Derecho Romano. </w:t>
      </w:r>
      <w:r w:rsidRPr="001A5540">
        <w:rPr>
          <w:rFonts w:ascii="Book Antiqua" w:hAnsi="Book Antiqua"/>
          <w:sz w:val="24"/>
          <w:szCs w:val="24"/>
        </w:rPr>
        <w:t xml:space="preserve">Pues bien, la riqueza argumentativa del Derecho Romano, pasado por el tamiz del Derecho medieval propio de la recepción, muestra aquí su fuerza de persuasión en favor de un Derecho Privado eficiente. Se debe litigar, en defecto de otros criterios, ante los tribunales que corresponden al lugar donde el demandado tiene su sede, su hogar, su domicilio, su residencia estable. Ésa es la idea y responde a un criterio operativo muy sencillo: en dicho lugar es donde se encontrarán, normalmente, los bienes litigiosos y/o los bienes del demandado que, en su caso deberán ser </w:t>
      </w:r>
      <w:r w:rsidRPr="001A5540">
        <w:rPr>
          <w:rFonts w:ascii="Book Antiqua" w:hAnsi="Book Antiqua"/>
          <w:sz w:val="24"/>
          <w:szCs w:val="24"/>
        </w:rPr>
        <w:lastRenderedPageBreak/>
        <w:t xml:space="preserve">ejecutados para satisfacer las pretensiones del actor. La ejecución de la sentencia será, pues, sencilla y así quedará salvada, protegida y potenciada la buena administración de </w:t>
      </w:r>
      <w:smartTag w:uri="urn:schemas-microsoft-com:office:smarttags" w:element="PersonName">
        <w:smartTagPr>
          <w:attr w:name="ProductID" w:val="la Justicia. Una"/>
        </w:smartTagPr>
        <w:smartTag w:uri="urn:schemas-microsoft-com:office:smarttags" w:element="PersonName">
          <w:smartTagPr>
            <w:attr w:name="ProductID" w:val="la Justicia."/>
          </w:smartTagPr>
          <w:r w:rsidRPr="001A5540">
            <w:rPr>
              <w:rFonts w:ascii="Book Antiqua" w:hAnsi="Book Antiqua"/>
              <w:sz w:val="24"/>
              <w:szCs w:val="24"/>
            </w:rPr>
            <w:t>la Justicia.</w:t>
          </w:r>
        </w:smartTag>
        <w:r w:rsidRPr="001A5540">
          <w:rPr>
            <w:rFonts w:ascii="Book Antiqua" w:hAnsi="Book Antiqua"/>
            <w:sz w:val="24"/>
            <w:szCs w:val="24"/>
          </w:rPr>
          <w:t xml:space="preserve"> Una</w:t>
        </w:r>
      </w:smartTag>
      <w:r w:rsidRPr="001A5540">
        <w:rPr>
          <w:rFonts w:ascii="Book Antiqua" w:hAnsi="Book Antiqua"/>
          <w:sz w:val="24"/>
          <w:szCs w:val="24"/>
        </w:rPr>
        <w:t xml:space="preserve"> Justicia cercana al lugar donde están los bienes litigiosos tiende a ser una Justicia más veloz y con más calidad jurídica.</w:t>
      </w:r>
    </w:p>
    <w:p w14:paraId="5EF09884" w14:textId="77777777" w:rsidR="001A5540" w:rsidRPr="001A5540" w:rsidRDefault="001A5540" w:rsidP="001A5540">
      <w:pPr>
        <w:tabs>
          <w:tab w:val="left" w:pos="-1440"/>
          <w:tab w:val="left" w:pos="-720"/>
          <w:tab w:val="left" w:pos="0"/>
          <w:tab w:val="left" w:pos="288"/>
          <w:tab w:val="left" w:pos="573"/>
          <w:tab w:val="left" w:pos="720"/>
        </w:tabs>
        <w:suppressAutoHyphens/>
        <w:spacing w:line="360" w:lineRule="auto"/>
        <w:jc w:val="both"/>
        <w:rPr>
          <w:rFonts w:ascii="Book Antiqua" w:hAnsi="Book Antiqua"/>
          <w:sz w:val="24"/>
          <w:szCs w:val="24"/>
        </w:rPr>
      </w:pPr>
    </w:p>
    <w:p w14:paraId="4F17E7A7" w14:textId="77777777" w:rsidR="001A5540" w:rsidRPr="001A5540" w:rsidRDefault="001A5540" w:rsidP="001A5540">
      <w:pPr>
        <w:tabs>
          <w:tab w:val="left" w:pos="-1440"/>
          <w:tab w:val="left" w:pos="-720"/>
          <w:tab w:val="left" w:pos="0"/>
          <w:tab w:val="left" w:pos="288"/>
          <w:tab w:val="left" w:pos="573"/>
          <w:tab w:val="left" w:pos="720"/>
        </w:tabs>
        <w:suppressAutoHyphens/>
        <w:spacing w:line="360" w:lineRule="auto"/>
        <w:jc w:val="both"/>
        <w:rPr>
          <w:rFonts w:ascii="Book Antiqua" w:hAnsi="Book Antiqua"/>
          <w:iCs/>
          <w:sz w:val="24"/>
          <w:szCs w:val="24"/>
        </w:rPr>
      </w:pPr>
      <w:r w:rsidRPr="001A5540">
        <w:rPr>
          <w:rFonts w:ascii="Book Antiqua" w:hAnsi="Book Antiqua"/>
          <w:sz w:val="24"/>
          <w:szCs w:val="24"/>
        </w:rPr>
        <w:tab/>
        <w:t xml:space="preserve">El Reglamento sucesorio europeo toma el concepto de residencia habitual de los precedentes inmediatos de otros reglamentos europeos de Derecho internacional privado y éstos, de los convenios de </w:t>
      </w:r>
      <w:smartTag w:uri="urn:schemas-microsoft-com:office:smarttags" w:element="PersonName">
        <w:smartTagPr>
          <w:attr w:name="ProductID" w:val="la Conferencia"/>
        </w:smartTagPr>
        <w:r w:rsidRPr="001A5540">
          <w:rPr>
            <w:rFonts w:ascii="Book Antiqua" w:hAnsi="Book Antiqua"/>
            <w:sz w:val="24"/>
            <w:szCs w:val="24"/>
          </w:rPr>
          <w:t>la Conferencia</w:t>
        </w:r>
      </w:smartTag>
      <w:r w:rsidRPr="001A5540">
        <w:rPr>
          <w:rFonts w:ascii="Book Antiqua" w:hAnsi="Book Antiqua"/>
          <w:sz w:val="24"/>
          <w:szCs w:val="24"/>
        </w:rPr>
        <w:t xml:space="preserve"> de </w:t>
      </w:r>
      <w:smartTag w:uri="urn:schemas-microsoft-com:office:smarttags" w:element="PersonName">
        <w:smartTagPr>
          <w:attr w:name="ProductID" w:val="la Haya"/>
        </w:smartTagPr>
        <w:r w:rsidRPr="001A5540">
          <w:rPr>
            <w:rFonts w:ascii="Book Antiqua" w:hAnsi="Book Antiqua"/>
            <w:sz w:val="24"/>
            <w:szCs w:val="24"/>
          </w:rPr>
          <w:t>La Haya</w:t>
        </w:r>
      </w:smartTag>
      <w:r w:rsidRPr="001A5540">
        <w:rPr>
          <w:rFonts w:ascii="Book Antiqua" w:hAnsi="Book Antiqua"/>
          <w:sz w:val="24"/>
          <w:szCs w:val="24"/>
        </w:rPr>
        <w:t xml:space="preserve"> de Derecho internacional privado posteriores a </w:t>
      </w:r>
      <w:smartTag w:uri="urn:schemas-microsoft-com:office:smarttags" w:element="PersonName">
        <w:smartTagPr>
          <w:attr w:name="ProductID" w:val="la Segunda Guerra"/>
        </w:smartTagPr>
        <w:smartTag w:uri="urn:schemas-microsoft-com:office:smarttags" w:element="PersonName">
          <w:smartTagPr>
            <w:attr w:name="ProductID" w:val="la Segunda"/>
          </w:smartTagPr>
          <w:r w:rsidRPr="001A5540">
            <w:rPr>
              <w:rFonts w:ascii="Book Antiqua" w:hAnsi="Book Antiqua"/>
              <w:sz w:val="24"/>
              <w:szCs w:val="24"/>
            </w:rPr>
            <w:t>la Segunda</w:t>
          </w:r>
        </w:smartTag>
        <w:r w:rsidRPr="001A5540">
          <w:rPr>
            <w:rFonts w:ascii="Book Antiqua" w:hAnsi="Book Antiqua"/>
            <w:sz w:val="24"/>
            <w:szCs w:val="24"/>
          </w:rPr>
          <w:t xml:space="preserve"> Guerra</w:t>
        </w:r>
      </w:smartTag>
      <w:r w:rsidRPr="001A5540">
        <w:rPr>
          <w:rFonts w:ascii="Book Antiqua" w:hAnsi="Book Antiqua"/>
          <w:sz w:val="24"/>
          <w:szCs w:val="24"/>
        </w:rPr>
        <w:t xml:space="preserve"> Mundial. Sin embargo, el concepto tiene una inequívoca raíz romana que este estudio resulta con precisión, claridad y profundidad. Una cita bastará, la de Paulo, cuyas palabras son elocuentes en su riqueza sintética: "</w:t>
      </w:r>
      <w:proofErr w:type="spellStart"/>
      <w:r w:rsidRPr="001A5540">
        <w:rPr>
          <w:rFonts w:ascii="Book Antiqua" w:hAnsi="Book Antiqua"/>
          <w:i/>
          <w:sz w:val="24"/>
          <w:szCs w:val="24"/>
        </w:rPr>
        <w:t>D</w:t>
      </w:r>
      <w:r w:rsidRPr="001A5540">
        <w:rPr>
          <w:rFonts w:ascii="Book Antiqua" w:hAnsi="Book Antiqua"/>
          <w:i/>
          <w:iCs/>
          <w:sz w:val="24"/>
          <w:szCs w:val="24"/>
        </w:rPr>
        <w:t>omicilium</w:t>
      </w:r>
      <w:proofErr w:type="spellEnd"/>
      <w:r w:rsidRPr="001A5540">
        <w:rPr>
          <w:rFonts w:ascii="Book Antiqua" w:hAnsi="Book Antiqua"/>
          <w:i/>
          <w:iCs/>
          <w:sz w:val="24"/>
          <w:szCs w:val="24"/>
        </w:rPr>
        <w:t xml:space="preserve"> re et facto </w:t>
      </w:r>
      <w:proofErr w:type="spellStart"/>
      <w:r w:rsidRPr="001A5540">
        <w:rPr>
          <w:rFonts w:ascii="Book Antiqua" w:hAnsi="Book Antiqua"/>
          <w:i/>
          <w:iCs/>
          <w:sz w:val="24"/>
          <w:szCs w:val="24"/>
        </w:rPr>
        <w:t>transfertur</w:t>
      </w:r>
      <w:proofErr w:type="spellEnd"/>
      <w:r w:rsidRPr="001A5540">
        <w:rPr>
          <w:rFonts w:ascii="Book Antiqua" w:hAnsi="Book Antiqua"/>
          <w:i/>
          <w:iCs/>
          <w:sz w:val="24"/>
          <w:szCs w:val="24"/>
        </w:rPr>
        <w:t xml:space="preserve">, non nuda </w:t>
      </w:r>
      <w:proofErr w:type="spellStart"/>
      <w:r w:rsidRPr="001A5540">
        <w:rPr>
          <w:rFonts w:ascii="Book Antiqua" w:hAnsi="Book Antiqua"/>
          <w:i/>
          <w:iCs/>
          <w:sz w:val="24"/>
          <w:szCs w:val="24"/>
        </w:rPr>
        <w:t>contestatione</w:t>
      </w:r>
      <w:proofErr w:type="spellEnd"/>
      <w:r w:rsidRPr="001A5540">
        <w:rPr>
          <w:rFonts w:ascii="Book Antiqua" w:hAnsi="Book Antiqua"/>
          <w:iCs/>
          <w:sz w:val="24"/>
          <w:szCs w:val="24"/>
        </w:rPr>
        <w:t xml:space="preserve">". Éste es el dato clave: la sede de la persona, su residencia habitual, es un dato de hecho. Se localiza allí donde los hechos conducen, y no basta una afirmación para cambiar de </w:t>
      </w:r>
      <w:proofErr w:type="spellStart"/>
      <w:r w:rsidRPr="001A5540">
        <w:rPr>
          <w:rFonts w:ascii="Book Antiqua" w:hAnsi="Book Antiqua"/>
          <w:i/>
          <w:iCs/>
          <w:sz w:val="24"/>
          <w:szCs w:val="24"/>
        </w:rPr>
        <w:t>domicilium</w:t>
      </w:r>
      <w:proofErr w:type="spellEnd"/>
      <w:r w:rsidRPr="001A5540">
        <w:rPr>
          <w:rFonts w:ascii="Book Antiqua" w:hAnsi="Book Antiqua"/>
          <w:iCs/>
          <w:sz w:val="24"/>
          <w:szCs w:val="24"/>
        </w:rPr>
        <w:t>. Hechos y no palabras son los relevantes. El Derecho jurisdiccional romano siempre fue intensamente práctico. Por ello en él primaron siempre los datos de hecho sobre las declaraciones personales y las presunciones jurídicas. El valor dado, en el caso de múltiples residencias de la persona, la intención de la persona es también una creación evolutiva del Derecho Romano, como pone de manifiesto este estudio. Evolución que se percibe también en el concepto de "residencia habitual" acogido por el Reglamento sucesorio europeo.</w:t>
      </w:r>
    </w:p>
    <w:p w14:paraId="631EDA7E" w14:textId="77777777" w:rsidR="001A5540" w:rsidRPr="001A5540" w:rsidRDefault="001A5540" w:rsidP="001A5540">
      <w:pPr>
        <w:tabs>
          <w:tab w:val="left" w:pos="-1440"/>
          <w:tab w:val="left" w:pos="-720"/>
          <w:tab w:val="left" w:pos="0"/>
          <w:tab w:val="left" w:pos="288"/>
          <w:tab w:val="left" w:pos="573"/>
          <w:tab w:val="left" w:pos="720"/>
        </w:tabs>
        <w:suppressAutoHyphens/>
        <w:spacing w:line="360" w:lineRule="auto"/>
        <w:jc w:val="both"/>
        <w:rPr>
          <w:rFonts w:ascii="Book Antiqua" w:hAnsi="Book Antiqua"/>
          <w:iCs/>
          <w:sz w:val="24"/>
          <w:szCs w:val="24"/>
        </w:rPr>
      </w:pPr>
    </w:p>
    <w:p w14:paraId="4B07E6A1" w14:textId="4656762C" w:rsidR="00CF1325" w:rsidRPr="00310021" w:rsidRDefault="001A5540" w:rsidP="001A5540">
      <w:pPr>
        <w:tabs>
          <w:tab w:val="left" w:pos="-1440"/>
          <w:tab w:val="left" w:pos="-720"/>
          <w:tab w:val="left" w:pos="0"/>
          <w:tab w:val="left" w:pos="288"/>
          <w:tab w:val="left" w:pos="573"/>
          <w:tab w:val="left" w:pos="720"/>
        </w:tabs>
        <w:suppressAutoHyphens/>
        <w:spacing w:line="360" w:lineRule="auto"/>
        <w:jc w:val="both"/>
        <w:rPr>
          <w:sz w:val="24"/>
          <w:szCs w:val="24"/>
        </w:rPr>
      </w:pPr>
      <w:r w:rsidRPr="001A5540">
        <w:rPr>
          <w:rFonts w:ascii="Book Antiqua" w:hAnsi="Book Antiqua"/>
          <w:sz w:val="24"/>
          <w:szCs w:val="24"/>
        </w:rPr>
        <w:tab/>
        <w:t xml:space="preserve">En suma, debe darse una calurosa bienvenida a este estudio entre los más destacados esfuerzos por demostrar que la lógica intrínseca del Derecho privado está presente ya en el Derecho Romano y en la interpretación medieval del mismo llevada a cabo por los inmarcesibles juristas de la recepción. Con una redacción clara, una profundidad manifiesta, un aparato doctrinal sólido y unas consecuencias prácticas innegables, es un placer abandonarse a la sugestiva lectura de estas reflexiones tan creativas sobre la "Sumisión y residencia habitual en el Reglamento europeo de sucesiones: fundamentos </w:t>
      </w:r>
      <w:proofErr w:type="spellStart"/>
      <w:r w:rsidRPr="001A5540">
        <w:rPr>
          <w:rFonts w:ascii="Book Antiqua" w:hAnsi="Book Antiqua"/>
          <w:sz w:val="24"/>
          <w:szCs w:val="24"/>
        </w:rPr>
        <w:t>romanísticos</w:t>
      </w:r>
      <w:proofErr w:type="spellEnd"/>
      <w:r w:rsidRPr="001A5540">
        <w:rPr>
          <w:rFonts w:ascii="Book Antiqua" w:hAnsi="Book Antiqua"/>
          <w:sz w:val="24"/>
          <w:szCs w:val="24"/>
        </w:rPr>
        <w:t>".</w:t>
      </w:r>
    </w:p>
    <w:sectPr w:rsidR="00CF1325" w:rsidRPr="00310021" w:rsidSect="00197421">
      <w:pgSz w:w="11906" w:h="16838"/>
      <w:pgMar w:top="1417" w:right="1701" w:bottom="1417" w:left="1701"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A7C3B" w14:textId="77777777" w:rsidR="00666A78" w:rsidRDefault="00666A78" w:rsidP="008C2933">
      <w:r>
        <w:separator/>
      </w:r>
    </w:p>
  </w:endnote>
  <w:endnote w:type="continuationSeparator" w:id="0">
    <w:p w14:paraId="48530BEE" w14:textId="77777777" w:rsidR="00666A78" w:rsidRDefault="00666A78" w:rsidP="008C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1A3A6" w14:textId="77777777" w:rsidR="00C94040" w:rsidRPr="00575480" w:rsidRDefault="00C94040">
    <w:pPr>
      <w:pStyle w:val="Piedepgina"/>
      <w:jc w:val="center"/>
      <w:rPr>
        <w:rFonts w:ascii="Book Antiqua" w:hAnsi="Book Antiqua"/>
        <w:caps/>
        <w:sz w:val="22"/>
        <w:szCs w:val="22"/>
      </w:rPr>
    </w:pPr>
    <w:r w:rsidRPr="00575480">
      <w:rPr>
        <w:rFonts w:ascii="Book Antiqua" w:hAnsi="Book Antiqua"/>
        <w:caps/>
        <w:sz w:val="22"/>
        <w:szCs w:val="22"/>
      </w:rPr>
      <w:fldChar w:fldCharType="begin"/>
    </w:r>
    <w:r w:rsidRPr="00575480">
      <w:rPr>
        <w:rFonts w:ascii="Book Antiqua" w:hAnsi="Book Antiqua"/>
        <w:caps/>
        <w:sz w:val="22"/>
        <w:szCs w:val="22"/>
      </w:rPr>
      <w:instrText>PAGE   \* MERGEFORMAT</w:instrText>
    </w:r>
    <w:r w:rsidRPr="00575480">
      <w:rPr>
        <w:rFonts w:ascii="Book Antiqua" w:hAnsi="Book Antiqua"/>
        <w:caps/>
        <w:sz w:val="22"/>
        <w:szCs w:val="22"/>
      </w:rPr>
      <w:fldChar w:fldCharType="separate"/>
    </w:r>
    <w:r w:rsidRPr="00575480">
      <w:rPr>
        <w:rFonts w:ascii="Book Antiqua" w:hAnsi="Book Antiqua"/>
        <w:caps/>
        <w:sz w:val="22"/>
        <w:szCs w:val="22"/>
      </w:rPr>
      <w:t>2</w:t>
    </w:r>
    <w:r w:rsidRPr="00575480">
      <w:rPr>
        <w:rFonts w:ascii="Book Antiqua" w:hAnsi="Book Antiqua"/>
        <w:caps/>
        <w:sz w:val="22"/>
        <w:szCs w:val="22"/>
      </w:rPr>
      <w:fldChar w:fldCharType="end"/>
    </w:r>
  </w:p>
  <w:p w14:paraId="2CFFFAD0" w14:textId="77777777" w:rsidR="007C706C" w:rsidRDefault="00666A78" w:rsidP="0044622E">
    <w:pPr>
      <w:pStyle w:val="Piedepgina"/>
      <w:tabs>
        <w:tab w:val="clear" w:pos="4252"/>
        <w:tab w:val="clear" w:pos="8504"/>
        <w:tab w:val="left" w:pos="604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9354639"/>
      <w:docPartObj>
        <w:docPartGallery w:val="Page Numbers (Bottom of Page)"/>
        <w:docPartUnique/>
      </w:docPartObj>
    </w:sdtPr>
    <w:sdtEndPr>
      <w:rPr>
        <w:color w:val="808080" w:themeColor="background1" w:themeShade="80"/>
      </w:rPr>
    </w:sdtEndPr>
    <w:sdtContent>
      <w:p w14:paraId="554FCB0E" w14:textId="036867BF" w:rsidR="000C3BA7" w:rsidRPr="008E5A1F" w:rsidRDefault="000C3BA7">
        <w:pPr>
          <w:pStyle w:val="Piedepgina"/>
          <w:jc w:val="center"/>
          <w:rPr>
            <w:color w:val="808080" w:themeColor="background1" w:themeShade="80"/>
          </w:rPr>
        </w:pPr>
        <w:r w:rsidRPr="008E5A1F">
          <w:rPr>
            <w:color w:val="808080" w:themeColor="background1" w:themeShade="80"/>
          </w:rPr>
          <w:fldChar w:fldCharType="begin"/>
        </w:r>
        <w:r w:rsidRPr="008E5A1F">
          <w:rPr>
            <w:color w:val="808080" w:themeColor="background1" w:themeShade="80"/>
          </w:rPr>
          <w:instrText>PAGE   \* MERGEFORMAT</w:instrText>
        </w:r>
        <w:r w:rsidRPr="008E5A1F">
          <w:rPr>
            <w:color w:val="808080" w:themeColor="background1" w:themeShade="80"/>
          </w:rPr>
          <w:fldChar w:fldCharType="separate"/>
        </w:r>
        <w:r w:rsidRPr="008E5A1F">
          <w:rPr>
            <w:color w:val="808080" w:themeColor="background1" w:themeShade="80"/>
          </w:rPr>
          <w:t>2</w:t>
        </w:r>
        <w:r w:rsidRPr="008E5A1F">
          <w:rPr>
            <w:color w:val="808080" w:themeColor="background1" w:themeShade="80"/>
          </w:rPr>
          <w:fldChar w:fldCharType="end"/>
        </w:r>
      </w:p>
    </w:sdtContent>
  </w:sdt>
  <w:p w14:paraId="029617C7" w14:textId="77777777" w:rsidR="000C3BA7" w:rsidRDefault="000C3B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6C2C5" w14:textId="77777777" w:rsidR="00666A78" w:rsidRDefault="00666A78" w:rsidP="008C2933">
      <w:r>
        <w:separator/>
      </w:r>
    </w:p>
  </w:footnote>
  <w:footnote w:type="continuationSeparator" w:id="0">
    <w:p w14:paraId="286725A3" w14:textId="77777777" w:rsidR="00666A78" w:rsidRDefault="00666A78" w:rsidP="008C2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A14CB" w14:textId="6585DE3E" w:rsidR="00197421" w:rsidRPr="008E5A1F" w:rsidRDefault="00197421" w:rsidP="00C34434">
    <w:pPr>
      <w:pStyle w:val="Encabezado"/>
      <w:tabs>
        <w:tab w:val="left" w:pos="8364"/>
      </w:tabs>
      <w:jc w:val="right"/>
      <w:rPr>
        <w:rFonts w:ascii="Book Antiqua" w:hAnsi="Book Antiqua"/>
        <w:b/>
        <w:bCs/>
        <w:color w:val="808080" w:themeColor="background1" w:themeShade="80"/>
      </w:rPr>
    </w:pPr>
    <w:r w:rsidRPr="008E5A1F">
      <w:rPr>
        <w:rFonts w:ascii="Book Antiqua" w:hAnsi="Book Antiqua"/>
        <w:b/>
        <w:bCs/>
        <w:color w:val="808080" w:themeColor="background1" w:themeShade="80"/>
      </w:rPr>
      <w:t>www.ridrom.uclm.es</w:t>
    </w:r>
  </w:p>
  <w:p w14:paraId="0CAB3AC2" w14:textId="2BBFE99D" w:rsidR="006B0386" w:rsidRPr="008E5A1F" w:rsidRDefault="00911B9D" w:rsidP="00C34434">
    <w:pPr>
      <w:pStyle w:val="Encabezado"/>
      <w:tabs>
        <w:tab w:val="left" w:pos="8364"/>
      </w:tabs>
      <w:jc w:val="right"/>
      <w:rPr>
        <w:rFonts w:ascii="Book Antiqua" w:hAnsi="Book Antiqua"/>
        <w:b/>
        <w:bCs/>
        <w:color w:val="808080" w:themeColor="background1" w:themeShade="80"/>
      </w:rPr>
    </w:pPr>
    <w:r>
      <w:rPr>
        <w:rFonts w:ascii="Book Antiqua" w:hAnsi="Book Antiqua"/>
        <w:b/>
        <w:bCs/>
        <w:color w:val="808080" w:themeColor="background1" w:themeShade="80"/>
      </w:rPr>
      <w:t>octubre</w:t>
    </w:r>
    <w:r w:rsidR="006B0386" w:rsidRPr="008E5A1F">
      <w:rPr>
        <w:rFonts w:ascii="Book Antiqua" w:hAnsi="Book Antiqua"/>
        <w:b/>
        <w:bCs/>
        <w:color w:val="808080" w:themeColor="background1" w:themeShade="80"/>
      </w:rPr>
      <w:t>-</w:t>
    </w:r>
    <w:r w:rsidR="00B95B3C">
      <w:rPr>
        <w:rFonts w:ascii="Book Antiqua" w:hAnsi="Book Antiqua"/>
        <w:b/>
        <w:bCs/>
        <w:color w:val="808080" w:themeColor="background1" w:themeShade="80"/>
      </w:rPr>
      <w:t>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33"/>
    <w:rsid w:val="000007A3"/>
    <w:rsid w:val="000015C6"/>
    <w:rsid w:val="000078F7"/>
    <w:rsid w:val="000361B4"/>
    <w:rsid w:val="00040110"/>
    <w:rsid w:val="00040C66"/>
    <w:rsid w:val="00042456"/>
    <w:rsid w:val="00043382"/>
    <w:rsid w:val="00045A90"/>
    <w:rsid w:val="0007351B"/>
    <w:rsid w:val="00085FDA"/>
    <w:rsid w:val="00090D5C"/>
    <w:rsid w:val="00092EFD"/>
    <w:rsid w:val="00096867"/>
    <w:rsid w:val="000A3C47"/>
    <w:rsid w:val="000C0D90"/>
    <w:rsid w:val="000C3BA7"/>
    <w:rsid w:val="000C6BBA"/>
    <w:rsid w:val="000D5607"/>
    <w:rsid w:val="000E6ADA"/>
    <w:rsid w:val="000F0AF7"/>
    <w:rsid w:val="00100AD2"/>
    <w:rsid w:val="001038CC"/>
    <w:rsid w:val="00147932"/>
    <w:rsid w:val="001637C6"/>
    <w:rsid w:val="00192159"/>
    <w:rsid w:val="00192692"/>
    <w:rsid w:val="001927BD"/>
    <w:rsid w:val="00197421"/>
    <w:rsid w:val="001A5540"/>
    <w:rsid w:val="001D23E4"/>
    <w:rsid w:val="001E0924"/>
    <w:rsid w:val="001E0E6C"/>
    <w:rsid w:val="001F5F99"/>
    <w:rsid w:val="00214287"/>
    <w:rsid w:val="00215779"/>
    <w:rsid w:val="00221D4F"/>
    <w:rsid w:val="00233F98"/>
    <w:rsid w:val="00242647"/>
    <w:rsid w:val="00243FDD"/>
    <w:rsid w:val="00254E39"/>
    <w:rsid w:val="0025630B"/>
    <w:rsid w:val="0026574C"/>
    <w:rsid w:val="00274485"/>
    <w:rsid w:val="002B1FB9"/>
    <w:rsid w:val="002C0795"/>
    <w:rsid w:val="002C405A"/>
    <w:rsid w:val="002D2CB5"/>
    <w:rsid w:val="002F55E3"/>
    <w:rsid w:val="00310021"/>
    <w:rsid w:val="00312B24"/>
    <w:rsid w:val="00314AAE"/>
    <w:rsid w:val="00326BC6"/>
    <w:rsid w:val="003800A5"/>
    <w:rsid w:val="00386B31"/>
    <w:rsid w:val="0039290D"/>
    <w:rsid w:val="003B3C70"/>
    <w:rsid w:val="003B5DCE"/>
    <w:rsid w:val="003D6FA0"/>
    <w:rsid w:val="003E012B"/>
    <w:rsid w:val="003E0BEE"/>
    <w:rsid w:val="003E0D6A"/>
    <w:rsid w:val="003E54D5"/>
    <w:rsid w:val="004007FE"/>
    <w:rsid w:val="00401B74"/>
    <w:rsid w:val="00427063"/>
    <w:rsid w:val="00431BF1"/>
    <w:rsid w:val="00435BCC"/>
    <w:rsid w:val="00443305"/>
    <w:rsid w:val="00445A11"/>
    <w:rsid w:val="00466447"/>
    <w:rsid w:val="0047065F"/>
    <w:rsid w:val="00470F09"/>
    <w:rsid w:val="00471150"/>
    <w:rsid w:val="00481355"/>
    <w:rsid w:val="00483985"/>
    <w:rsid w:val="004A104B"/>
    <w:rsid w:val="004A7EA3"/>
    <w:rsid w:val="004D476C"/>
    <w:rsid w:val="004D64E8"/>
    <w:rsid w:val="004E0981"/>
    <w:rsid w:val="00514D56"/>
    <w:rsid w:val="005174E3"/>
    <w:rsid w:val="00533931"/>
    <w:rsid w:val="00533950"/>
    <w:rsid w:val="005459A2"/>
    <w:rsid w:val="00547291"/>
    <w:rsid w:val="00553062"/>
    <w:rsid w:val="00573053"/>
    <w:rsid w:val="00575480"/>
    <w:rsid w:val="005A5BBB"/>
    <w:rsid w:val="005B3F03"/>
    <w:rsid w:val="005D63AE"/>
    <w:rsid w:val="005E2878"/>
    <w:rsid w:val="005E6B33"/>
    <w:rsid w:val="005E7751"/>
    <w:rsid w:val="005F0963"/>
    <w:rsid w:val="006073EF"/>
    <w:rsid w:val="006368B4"/>
    <w:rsid w:val="0066555C"/>
    <w:rsid w:val="00666A78"/>
    <w:rsid w:val="00667660"/>
    <w:rsid w:val="00686EAF"/>
    <w:rsid w:val="00687AAB"/>
    <w:rsid w:val="00687DAD"/>
    <w:rsid w:val="0069337C"/>
    <w:rsid w:val="006B0386"/>
    <w:rsid w:val="006D1960"/>
    <w:rsid w:val="006D2084"/>
    <w:rsid w:val="006D5D80"/>
    <w:rsid w:val="006E0F25"/>
    <w:rsid w:val="006F0BC6"/>
    <w:rsid w:val="007168FE"/>
    <w:rsid w:val="00764E3E"/>
    <w:rsid w:val="00773F49"/>
    <w:rsid w:val="007901CF"/>
    <w:rsid w:val="00791E87"/>
    <w:rsid w:val="007D4E51"/>
    <w:rsid w:val="007F4F39"/>
    <w:rsid w:val="00802224"/>
    <w:rsid w:val="00807CD5"/>
    <w:rsid w:val="0082657A"/>
    <w:rsid w:val="0082693B"/>
    <w:rsid w:val="00827BBB"/>
    <w:rsid w:val="00835C92"/>
    <w:rsid w:val="00840045"/>
    <w:rsid w:val="00844DEE"/>
    <w:rsid w:val="00854C25"/>
    <w:rsid w:val="008963DC"/>
    <w:rsid w:val="008B0192"/>
    <w:rsid w:val="008C1722"/>
    <w:rsid w:val="008C2933"/>
    <w:rsid w:val="008D12F6"/>
    <w:rsid w:val="008E5A1F"/>
    <w:rsid w:val="00911B9D"/>
    <w:rsid w:val="00912B9F"/>
    <w:rsid w:val="009273B9"/>
    <w:rsid w:val="00927E12"/>
    <w:rsid w:val="009302C9"/>
    <w:rsid w:val="00951F1F"/>
    <w:rsid w:val="00962B5E"/>
    <w:rsid w:val="00963180"/>
    <w:rsid w:val="00973E95"/>
    <w:rsid w:val="00977155"/>
    <w:rsid w:val="00977BF5"/>
    <w:rsid w:val="009C2FB3"/>
    <w:rsid w:val="009C37A5"/>
    <w:rsid w:val="009F4694"/>
    <w:rsid w:val="00A05173"/>
    <w:rsid w:val="00A659E0"/>
    <w:rsid w:val="00A746B1"/>
    <w:rsid w:val="00A9565F"/>
    <w:rsid w:val="00AA0034"/>
    <w:rsid w:val="00AD48BC"/>
    <w:rsid w:val="00B3557B"/>
    <w:rsid w:val="00B44A15"/>
    <w:rsid w:val="00B47F62"/>
    <w:rsid w:val="00B95B3C"/>
    <w:rsid w:val="00B95CAA"/>
    <w:rsid w:val="00BA0ED5"/>
    <w:rsid w:val="00BB2CA8"/>
    <w:rsid w:val="00BC2CC7"/>
    <w:rsid w:val="00BD33AF"/>
    <w:rsid w:val="00BF0895"/>
    <w:rsid w:val="00BF3DB9"/>
    <w:rsid w:val="00C11FF2"/>
    <w:rsid w:val="00C3051E"/>
    <w:rsid w:val="00C33BD3"/>
    <w:rsid w:val="00C34420"/>
    <w:rsid w:val="00C34434"/>
    <w:rsid w:val="00C94040"/>
    <w:rsid w:val="00C967CD"/>
    <w:rsid w:val="00CD0CC1"/>
    <w:rsid w:val="00CD384B"/>
    <w:rsid w:val="00CD4509"/>
    <w:rsid w:val="00CE5D71"/>
    <w:rsid w:val="00CF1325"/>
    <w:rsid w:val="00D12766"/>
    <w:rsid w:val="00D17F83"/>
    <w:rsid w:val="00D235F8"/>
    <w:rsid w:val="00D3143C"/>
    <w:rsid w:val="00D82D0C"/>
    <w:rsid w:val="00D84662"/>
    <w:rsid w:val="00D97914"/>
    <w:rsid w:val="00DA553D"/>
    <w:rsid w:val="00DC6B52"/>
    <w:rsid w:val="00DD171C"/>
    <w:rsid w:val="00DE7C07"/>
    <w:rsid w:val="00E00A63"/>
    <w:rsid w:val="00E3487C"/>
    <w:rsid w:val="00E60F8B"/>
    <w:rsid w:val="00E677FC"/>
    <w:rsid w:val="00E96581"/>
    <w:rsid w:val="00EC1C68"/>
    <w:rsid w:val="00EC557E"/>
    <w:rsid w:val="00EC7C68"/>
    <w:rsid w:val="00EE3298"/>
    <w:rsid w:val="00EF17EF"/>
    <w:rsid w:val="00F23449"/>
    <w:rsid w:val="00F300B7"/>
    <w:rsid w:val="00F32DB4"/>
    <w:rsid w:val="00F3622A"/>
    <w:rsid w:val="00F421A3"/>
    <w:rsid w:val="00F57505"/>
    <w:rsid w:val="00F820A5"/>
    <w:rsid w:val="00F8222F"/>
    <w:rsid w:val="00F8590F"/>
    <w:rsid w:val="00FE0CBE"/>
    <w:rsid w:val="00FE75C7"/>
    <w:rsid w:val="00FF0E4B"/>
    <w:rsid w:val="00FF48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B879562"/>
  <w15:chartTrackingRefBased/>
  <w15:docId w15:val="{CC0E6F1E-FEF2-44AE-8918-65AAD6AF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33"/>
    <w:pPr>
      <w:spacing w:after="0" w:line="240" w:lineRule="auto"/>
    </w:pPr>
    <w:rPr>
      <w:rFonts w:ascii="Calibri" w:eastAsia="Calibri" w:hAnsi="Calibri" w:cs="Arial"/>
      <w:sz w:val="20"/>
      <w:szCs w:val="20"/>
      <w:lang w:eastAsia="es-ES"/>
    </w:rPr>
  </w:style>
  <w:style w:type="paragraph" w:styleId="Ttulo1">
    <w:name w:val="heading 1"/>
    <w:basedOn w:val="Normal"/>
    <w:next w:val="Normal"/>
    <w:link w:val="Ttulo1Car"/>
    <w:uiPriority w:val="9"/>
    <w:qFormat/>
    <w:rsid w:val="00092EFD"/>
    <w:pPr>
      <w:keepNext/>
      <w:spacing w:before="240" w:after="60" w:line="276" w:lineRule="auto"/>
      <w:outlineLvl w:val="0"/>
    </w:pPr>
    <w:rPr>
      <w:rFonts w:ascii="Cambria" w:eastAsia="Times New Roman" w:hAnsi="Cambria" w:cs="Times New Roman"/>
      <w:b/>
      <w:bCs/>
      <w:kern w:val="32"/>
      <w:sz w:val="32"/>
      <w:szCs w:val="32"/>
      <w:lang w:val="es-VE" w:eastAsia="es-VE"/>
    </w:rPr>
  </w:style>
  <w:style w:type="paragraph" w:styleId="Ttulo2">
    <w:name w:val="heading 2"/>
    <w:basedOn w:val="Normal"/>
    <w:next w:val="Normal"/>
    <w:link w:val="Ttulo2Car"/>
    <w:uiPriority w:val="9"/>
    <w:unhideWhenUsed/>
    <w:qFormat/>
    <w:rsid w:val="00092EFD"/>
    <w:pPr>
      <w:keepNext/>
      <w:spacing w:before="240" w:after="60" w:line="276" w:lineRule="auto"/>
      <w:outlineLvl w:val="1"/>
    </w:pPr>
    <w:rPr>
      <w:rFonts w:ascii="Cambria" w:eastAsia="Times New Roman" w:hAnsi="Cambria" w:cs="Times New Roman"/>
      <w:b/>
      <w:bCs/>
      <w:i/>
      <w:iCs/>
      <w:sz w:val="28"/>
      <w:szCs w:val="28"/>
      <w:lang w:val="es-VE" w:eastAsia="es-VE"/>
    </w:rPr>
  </w:style>
  <w:style w:type="paragraph" w:styleId="Ttulo3">
    <w:name w:val="heading 3"/>
    <w:basedOn w:val="Normal"/>
    <w:link w:val="Ttulo3Car"/>
    <w:uiPriority w:val="9"/>
    <w:qFormat/>
    <w:rsid w:val="00092EFD"/>
    <w:pPr>
      <w:spacing w:before="100" w:beforeAutospacing="1" w:after="100" w:afterAutospacing="1"/>
      <w:outlineLvl w:val="2"/>
    </w:pPr>
    <w:rPr>
      <w:rFonts w:ascii="Times New Roman" w:eastAsia="Times New Roman" w:hAnsi="Times New Roman" w:cs="Times New Roman"/>
      <w:b/>
      <w:bCs/>
      <w:sz w:val="27"/>
      <w:szCs w:val="27"/>
      <w:lang w:val="es-VE" w:eastAsia="es-VE"/>
    </w:rPr>
  </w:style>
  <w:style w:type="paragraph" w:styleId="Ttulo4">
    <w:name w:val="heading 4"/>
    <w:basedOn w:val="Normal"/>
    <w:next w:val="Normal"/>
    <w:link w:val="Ttulo4Car"/>
    <w:unhideWhenUsed/>
    <w:qFormat/>
    <w:rsid w:val="00092EFD"/>
    <w:pPr>
      <w:keepNext/>
      <w:spacing w:before="240" w:after="60" w:line="276" w:lineRule="auto"/>
      <w:outlineLvl w:val="3"/>
    </w:pPr>
    <w:rPr>
      <w:rFonts w:eastAsia="Times New Roman" w:cs="Times New Roman"/>
      <w:b/>
      <w:bCs/>
      <w:sz w:val="28"/>
      <w:szCs w:val="28"/>
      <w:lang w:val="es-VE" w:eastAsia="es-V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8C2933"/>
    <w:pPr>
      <w:spacing w:before="100" w:beforeAutospacing="1" w:after="100" w:afterAutospacing="1"/>
    </w:pPr>
    <w:rPr>
      <w:rFonts w:ascii="Times New Roman" w:eastAsia="Times New Roman" w:hAnsi="Times New Roman" w:cs="Times New Roman"/>
      <w:color w:val="FFCC99"/>
      <w:sz w:val="24"/>
      <w:szCs w:val="24"/>
    </w:rPr>
  </w:style>
  <w:style w:type="character" w:styleId="Textoennegrita">
    <w:name w:val="Strong"/>
    <w:uiPriority w:val="22"/>
    <w:qFormat/>
    <w:rsid w:val="008C2933"/>
    <w:rPr>
      <w:b/>
      <w:bCs/>
    </w:rPr>
  </w:style>
  <w:style w:type="character" w:styleId="Hipervnculo">
    <w:name w:val="Hyperlink"/>
    <w:rsid w:val="008C2933"/>
    <w:rPr>
      <w:color w:val="800000"/>
      <w:u w:val="single"/>
    </w:rPr>
  </w:style>
  <w:style w:type="paragraph" w:styleId="Piedepgina">
    <w:name w:val="footer"/>
    <w:basedOn w:val="Normal"/>
    <w:link w:val="PiedepginaCar"/>
    <w:uiPriority w:val="99"/>
    <w:unhideWhenUsed/>
    <w:rsid w:val="008C2933"/>
    <w:pPr>
      <w:tabs>
        <w:tab w:val="center" w:pos="4252"/>
        <w:tab w:val="right" w:pos="8504"/>
      </w:tabs>
    </w:pPr>
  </w:style>
  <w:style w:type="character" w:customStyle="1" w:styleId="PiedepginaCar">
    <w:name w:val="Pie de página Car"/>
    <w:basedOn w:val="Fuentedeprrafopredeter"/>
    <w:link w:val="Piedepgina"/>
    <w:uiPriority w:val="99"/>
    <w:rsid w:val="008C2933"/>
    <w:rPr>
      <w:rFonts w:ascii="Calibri" w:eastAsia="Calibri" w:hAnsi="Calibri" w:cs="Arial"/>
      <w:sz w:val="20"/>
      <w:szCs w:val="20"/>
      <w:lang w:eastAsia="es-ES"/>
    </w:rPr>
  </w:style>
  <w:style w:type="paragraph" w:styleId="Encabezado">
    <w:name w:val="header"/>
    <w:basedOn w:val="Normal"/>
    <w:link w:val="EncabezadoCar"/>
    <w:uiPriority w:val="99"/>
    <w:unhideWhenUsed/>
    <w:rsid w:val="008C2933"/>
    <w:pPr>
      <w:tabs>
        <w:tab w:val="center" w:pos="4252"/>
        <w:tab w:val="right" w:pos="8504"/>
      </w:tabs>
    </w:pPr>
  </w:style>
  <w:style w:type="character" w:customStyle="1" w:styleId="EncabezadoCar">
    <w:name w:val="Encabezado Car"/>
    <w:basedOn w:val="Fuentedeprrafopredeter"/>
    <w:link w:val="Encabezado"/>
    <w:uiPriority w:val="99"/>
    <w:rsid w:val="008C2933"/>
    <w:rPr>
      <w:rFonts w:ascii="Calibri" w:eastAsia="Calibri" w:hAnsi="Calibri" w:cs="Arial"/>
      <w:sz w:val="20"/>
      <w:szCs w:val="20"/>
      <w:lang w:eastAsia="es-ES"/>
    </w:rPr>
  </w:style>
  <w:style w:type="paragraph" w:styleId="Sinespaciado">
    <w:name w:val="No Spacing"/>
    <w:uiPriority w:val="1"/>
    <w:qFormat/>
    <w:rsid w:val="00C94040"/>
    <w:pPr>
      <w:spacing w:after="0" w:line="240" w:lineRule="auto"/>
    </w:pPr>
    <w:rPr>
      <w:rFonts w:ascii="Times New Roman" w:eastAsia="Calibri" w:hAnsi="Times New Roman" w:cs="Times New Roman"/>
      <w:sz w:val="28"/>
      <w:szCs w:val="24"/>
    </w:rPr>
  </w:style>
  <w:style w:type="paragraph" w:styleId="Textonotapie">
    <w:name w:val="footnote text"/>
    <w:basedOn w:val="Normal"/>
    <w:link w:val="TextonotapieCar"/>
    <w:uiPriority w:val="99"/>
    <w:rsid w:val="00243FDD"/>
    <w:pPr>
      <w:jc w:val="both"/>
    </w:pPr>
    <w:rPr>
      <w:rFonts w:ascii="Times New Roman" w:eastAsia="Times New Roman" w:hAnsi="Times New Roman" w:cs="Times New Roman"/>
      <w:sz w:val="24"/>
    </w:rPr>
  </w:style>
  <w:style w:type="character" w:customStyle="1" w:styleId="TextonotapieCar">
    <w:name w:val="Texto nota pie Car"/>
    <w:basedOn w:val="Fuentedeprrafopredeter"/>
    <w:link w:val="Textonotapie"/>
    <w:uiPriority w:val="99"/>
    <w:rsid w:val="00243FDD"/>
    <w:rPr>
      <w:rFonts w:ascii="Times New Roman" w:eastAsia="Times New Roman" w:hAnsi="Times New Roman" w:cs="Times New Roman"/>
      <w:sz w:val="24"/>
      <w:szCs w:val="20"/>
      <w:lang w:eastAsia="es-ES"/>
    </w:rPr>
  </w:style>
  <w:style w:type="character" w:styleId="Refdenotaalpie">
    <w:name w:val="footnote reference"/>
    <w:uiPriority w:val="99"/>
    <w:rsid w:val="00243FDD"/>
    <w:rPr>
      <w:vertAlign w:val="superscript"/>
    </w:rPr>
  </w:style>
  <w:style w:type="character" w:styleId="Mencinsinresolver">
    <w:name w:val="Unresolved Mention"/>
    <w:basedOn w:val="Fuentedeprrafopredeter"/>
    <w:uiPriority w:val="99"/>
    <w:semiHidden/>
    <w:unhideWhenUsed/>
    <w:rsid w:val="005A5BBB"/>
    <w:rPr>
      <w:color w:val="605E5C"/>
      <w:shd w:val="clear" w:color="auto" w:fill="E1DFDD"/>
    </w:rPr>
  </w:style>
  <w:style w:type="character" w:styleId="Hipervnculovisitado">
    <w:name w:val="FollowedHyperlink"/>
    <w:basedOn w:val="Fuentedeprrafopredeter"/>
    <w:uiPriority w:val="99"/>
    <w:semiHidden/>
    <w:unhideWhenUsed/>
    <w:rsid w:val="000E6ADA"/>
    <w:rPr>
      <w:color w:val="954F72" w:themeColor="followedHyperlink"/>
      <w:u w:val="single"/>
    </w:rPr>
  </w:style>
  <w:style w:type="table" w:styleId="Tablaconcuadrcula">
    <w:name w:val="Table Grid"/>
    <w:basedOn w:val="Tablanormal"/>
    <w:uiPriority w:val="59"/>
    <w:rsid w:val="000C3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0C3B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092EFD"/>
    <w:rPr>
      <w:rFonts w:ascii="Cambria" w:eastAsia="Times New Roman" w:hAnsi="Cambria" w:cs="Times New Roman"/>
      <w:b/>
      <w:bCs/>
      <w:kern w:val="32"/>
      <w:sz w:val="32"/>
      <w:szCs w:val="32"/>
      <w:lang w:val="es-VE" w:eastAsia="es-VE"/>
    </w:rPr>
  </w:style>
  <w:style w:type="character" w:customStyle="1" w:styleId="Ttulo2Car">
    <w:name w:val="Título 2 Car"/>
    <w:basedOn w:val="Fuentedeprrafopredeter"/>
    <w:link w:val="Ttulo2"/>
    <w:uiPriority w:val="9"/>
    <w:rsid w:val="00092EFD"/>
    <w:rPr>
      <w:rFonts w:ascii="Cambria" w:eastAsia="Times New Roman" w:hAnsi="Cambria" w:cs="Times New Roman"/>
      <w:b/>
      <w:bCs/>
      <w:i/>
      <w:iCs/>
      <w:sz w:val="28"/>
      <w:szCs w:val="28"/>
      <w:lang w:val="es-VE" w:eastAsia="es-VE"/>
    </w:rPr>
  </w:style>
  <w:style w:type="character" w:customStyle="1" w:styleId="Ttulo3Car">
    <w:name w:val="Título 3 Car"/>
    <w:basedOn w:val="Fuentedeprrafopredeter"/>
    <w:link w:val="Ttulo3"/>
    <w:uiPriority w:val="9"/>
    <w:rsid w:val="00092EFD"/>
    <w:rPr>
      <w:rFonts w:ascii="Times New Roman" w:eastAsia="Times New Roman" w:hAnsi="Times New Roman" w:cs="Times New Roman"/>
      <w:b/>
      <w:bCs/>
      <w:sz w:val="27"/>
      <w:szCs w:val="27"/>
      <w:lang w:val="es-VE" w:eastAsia="es-VE"/>
    </w:rPr>
  </w:style>
  <w:style w:type="character" w:customStyle="1" w:styleId="Ttulo4Car">
    <w:name w:val="Título 4 Car"/>
    <w:basedOn w:val="Fuentedeprrafopredeter"/>
    <w:link w:val="Ttulo4"/>
    <w:semiHidden/>
    <w:rsid w:val="00092EFD"/>
    <w:rPr>
      <w:rFonts w:ascii="Calibri" w:eastAsia="Times New Roman" w:hAnsi="Calibri" w:cs="Times New Roman"/>
      <w:b/>
      <w:bCs/>
      <w:sz w:val="28"/>
      <w:szCs w:val="28"/>
      <w:lang w:val="es-VE" w:eastAsia="es-VE"/>
    </w:rPr>
  </w:style>
  <w:style w:type="paragraph" w:styleId="Textonotaalfinal">
    <w:name w:val="endnote text"/>
    <w:basedOn w:val="Normal"/>
    <w:link w:val="TextonotaalfinalCar"/>
    <w:uiPriority w:val="99"/>
    <w:unhideWhenUsed/>
    <w:rsid w:val="00092EFD"/>
    <w:pPr>
      <w:spacing w:after="200" w:line="276" w:lineRule="auto"/>
    </w:pPr>
    <w:rPr>
      <w:rFonts w:eastAsia="Times New Roman" w:cs="Times New Roman"/>
      <w:lang w:val="es-VE" w:eastAsia="es-VE"/>
    </w:rPr>
  </w:style>
  <w:style w:type="character" w:customStyle="1" w:styleId="TextonotaalfinalCar">
    <w:name w:val="Texto nota al final Car"/>
    <w:basedOn w:val="Fuentedeprrafopredeter"/>
    <w:link w:val="Textonotaalfinal"/>
    <w:uiPriority w:val="99"/>
    <w:rsid w:val="00092EFD"/>
    <w:rPr>
      <w:rFonts w:ascii="Calibri" w:eastAsia="Times New Roman" w:hAnsi="Calibri" w:cs="Times New Roman"/>
      <w:sz w:val="20"/>
      <w:szCs w:val="20"/>
      <w:lang w:val="es-VE" w:eastAsia="es-VE"/>
    </w:rPr>
  </w:style>
  <w:style w:type="character" w:styleId="Refdenotaalfinal">
    <w:name w:val="endnote reference"/>
    <w:uiPriority w:val="99"/>
    <w:semiHidden/>
    <w:unhideWhenUsed/>
    <w:rsid w:val="00092EFD"/>
    <w:rPr>
      <w:vertAlign w:val="superscript"/>
    </w:rPr>
  </w:style>
  <w:style w:type="character" w:customStyle="1" w:styleId="apple-converted-space">
    <w:name w:val="apple-converted-space"/>
    <w:basedOn w:val="Fuentedeprrafopredeter"/>
    <w:rsid w:val="00092EFD"/>
  </w:style>
  <w:style w:type="character" w:customStyle="1" w:styleId="titulo">
    <w:name w:val="titulo"/>
    <w:basedOn w:val="Fuentedeprrafopredeter"/>
    <w:rsid w:val="00092EFD"/>
  </w:style>
  <w:style w:type="character" w:customStyle="1" w:styleId="subtitulo">
    <w:name w:val="subtitulo"/>
    <w:basedOn w:val="Fuentedeprrafopredeter"/>
    <w:rsid w:val="00092EFD"/>
  </w:style>
  <w:style w:type="paragraph" w:styleId="HTMLconformatoprevio">
    <w:name w:val="HTML Preformatted"/>
    <w:basedOn w:val="Normal"/>
    <w:link w:val="HTMLconformatoprevioCar"/>
    <w:uiPriority w:val="99"/>
    <w:unhideWhenUsed/>
    <w:rsid w:val="0009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s-VE" w:eastAsia="es-VE"/>
    </w:rPr>
  </w:style>
  <w:style w:type="character" w:customStyle="1" w:styleId="HTMLconformatoprevioCar">
    <w:name w:val="HTML con formato previo Car"/>
    <w:basedOn w:val="Fuentedeprrafopredeter"/>
    <w:link w:val="HTMLconformatoprevio"/>
    <w:uiPriority w:val="99"/>
    <w:rsid w:val="00092EFD"/>
    <w:rPr>
      <w:rFonts w:ascii="Courier New" w:eastAsia="Times New Roman" w:hAnsi="Courier New" w:cs="Courier New"/>
      <w:sz w:val="20"/>
      <w:szCs w:val="20"/>
      <w:lang w:val="es-VE" w:eastAsia="es-VE"/>
    </w:rPr>
  </w:style>
  <w:style w:type="character" w:styleId="nfasis">
    <w:name w:val="Emphasis"/>
    <w:qFormat/>
    <w:rsid w:val="00092EFD"/>
    <w:rPr>
      <w:i/>
      <w:iCs/>
    </w:rPr>
  </w:style>
  <w:style w:type="character" w:customStyle="1" w:styleId="notranslate">
    <w:name w:val="notranslate"/>
    <w:basedOn w:val="Fuentedeprrafopredeter"/>
    <w:rsid w:val="00092EFD"/>
  </w:style>
  <w:style w:type="character" w:customStyle="1" w:styleId="elgg-access">
    <w:name w:val="elgg-access"/>
    <w:basedOn w:val="Fuentedeprrafopredeter"/>
    <w:rsid w:val="00092EFD"/>
  </w:style>
  <w:style w:type="paragraph" w:customStyle="1" w:styleId="elgg-output-categories">
    <w:name w:val="elgg-output-categories"/>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nobold">
    <w:name w:val="nobold"/>
    <w:basedOn w:val="Fuentedeprrafopredeter"/>
    <w:rsid w:val="00092EFD"/>
  </w:style>
  <w:style w:type="paragraph" w:styleId="Textodeglobo">
    <w:name w:val="Balloon Text"/>
    <w:basedOn w:val="Normal"/>
    <w:link w:val="TextodegloboCar"/>
    <w:semiHidden/>
    <w:unhideWhenUsed/>
    <w:rsid w:val="00092EFD"/>
    <w:rPr>
      <w:rFonts w:ascii="Tahoma" w:eastAsia="Times New Roman" w:hAnsi="Tahoma" w:cs="Tahoma"/>
      <w:sz w:val="16"/>
      <w:szCs w:val="16"/>
      <w:lang w:val="es-VE" w:eastAsia="es-VE"/>
    </w:rPr>
  </w:style>
  <w:style w:type="character" w:customStyle="1" w:styleId="TextodegloboCar">
    <w:name w:val="Texto de globo Car"/>
    <w:basedOn w:val="Fuentedeprrafopredeter"/>
    <w:link w:val="Textodeglobo"/>
    <w:semiHidden/>
    <w:rsid w:val="00092EFD"/>
    <w:rPr>
      <w:rFonts w:ascii="Tahoma" w:eastAsia="Times New Roman" w:hAnsi="Tahoma" w:cs="Tahoma"/>
      <w:sz w:val="16"/>
      <w:szCs w:val="16"/>
      <w:lang w:val="es-VE" w:eastAsia="es-VE"/>
    </w:rPr>
  </w:style>
  <w:style w:type="paragraph" w:customStyle="1" w:styleId="lid">
    <w:name w:val="lid"/>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lidnr">
    <w:name w:val="lidnr"/>
    <w:basedOn w:val="Fuentedeprrafopredeter"/>
    <w:rsid w:val="00092EFD"/>
  </w:style>
  <w:style w:type="paragraph" w:customStyle="1" w:styleId="al">
    <w:name w:val="al"/>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addmd">
    <w:name w:val="addmd"/>
    <w:basedOn w:val="Fuentedeprrafopredeter"/>
    <w:rsid w:val="00092EFD"/>
  </w:style>
  <w:style w:type="character" w:customStyle="1" w:styleId="details-biblio-hidden-view-list">
    <w:name w:val="details-biblio-hidden-view-list"/>
    <w:basedOn w:val="Fuentedeprrafopredeter"/>
    <w:rsid w:val="00092EFD"/>
  </w:style>
  <w:style w:type="paragraph" w:styleId="Textodebloque">
    <w:name w:val="Block Text"/>
    <w:basedOn w:val="Normal"/>
    <w:uiPriority w:val="99"/>
    <w:rsid w:val="00092EFD"/>
    <w:pPr>
      <w:ind w:left="195" w:right="195"/>
      <w:jc w:val="both"/>
    </w:pPr>
    <w:rPr>
      <w:rFonts w:ascii="Arial" w:eastAsia="Times New Roman" w:hAnsi="Arial"/>
      <w:sz w:val="24"/>
      <w:szCs w:val="24"/>
      <w:lang w:val="en-US"/>
    </w:rPr>
  </w:style>
  <w:style w:type="character" w:customStyle="1" w:styleId="resalte1">
    <w:name w:val="resalte1"/>
    <w:basedOn w:val="Fuentedeprrafopredeter"/>
    <w:rsid w:val="00092EFD"/>
  </w:style>
  <w:style w:type="character" w:customStyle="1" w:styleId="resalte3">
    <w:name w:val="resalte3"/>
    <w:basedOn w:val="Fuentedeprrafopredeter"/>
    <w:rsid w:val="00092EFD"/>
  </w:style>
  <w:style w:type="paragraph" w:customStyle="1" w:styleId="paragraph">
    <w:name w:val="paragraph"/>
    <w:basedOn w:val="Normal"/>
    <w:rsid w:val="006E0F25"/>
    <w:pPr>
      <w:spacing w:before="100" w:beforeAutospacing="1" w:after="100" w:afterAutospacing="1"/>
    </w:pPr>
    <w:rPr>
      <w:rFonts w:ascii="Times New Roman" w:hAnsi="Times New Roman" w:cs="Times New Roman"/>
      <w:color w:val="000000"/>
      <w:sz w:val="24"/>
      <w:szCs w:val="24"/>
    </w:rPr>
  </w:style>
  <w:style w:type="character" w:customStyle="1" w:styleId="normaltextrun">
    <w:name w:val="normaltextrun"/>
    <w:rsid w:val="006E0F25"/>
    <w:rPr>
      <w:rFonts w:cs="Times New Roman"/>
    </w:rPr>
  </w:style>
  <w:style w:type="character" w:customStyle="1" w:styleId="eop">
    <w:name w:val="eop"/>
    <w:rsid w:val="006E0F25"/>
    <w:rPr>
      <w:rFonts w:cs="Times New Roman"/>
    </w:rPr>
  </w:style>
  <w:style w:type="character" w:customStyle="1" w:styleId="spellingerror">
    <w:name w:val="spellingerror"/>
    <w:rsid w:val="006E0F25"/>
    <w:rPr>
      <w:rFonts w:cs="Times New Roman"/>
    </w:rPr>
  </w:style>
  <w:style w:type="character" w:customStyle="1" w:styleId="contextualspellingandgrammarerror">
    <w:name w:val="contextualspellingandgrammarerror"/>
    <w:rsid w:val="006E0F25"/>
    <w:rPr>
      <w:rFonts w:cs="Times New Roman"/>
    </w:rPr>
  </w:style>
  <w:style w:type="character" w:customStyle="1" w:styleId="scxw225364937">
    <w:name w:val="scxw225364937"/>
    <w:rsid w:val="006E0F25"/>
    <w:rPr>
      <w:rFonts w:cs="Times New Roman"/>
    </w:rPr>
  </w:style>
  <w:style w:type="paragraph" w:customStyle="1" w:styleId="Prrafodelista1">
    <w:name w:val="Párrafo de lista1"/>
    <w:basedOn w:val="Normal"/>
    <w:rsid w:val="006E0F25"/>
    <w:pPr>
      <w:spacing w:after="160" w:line="259" w:lineRule="auto"/>
      <w:ind w:left="720"/>
    </w:pPr>
    <w:rPr>
      <w:rFonts w:ascii="Times New Roman" w:eastAsia="Times New Roman" w:hAnsi="Times New Roman" w:cs="Times New Roman"/>
      <w:color w:val="000000"/>
      <w:sz w:val="24"/>
      <w:szCs w:val="24"/>
      <w:lang w:eastAsia="en-US"/>
    </w:rPr>
  </w:style>
  <w:style w:type="character" w:customStyle="1" w:styleId="a">
    <w:name w:val="a"/>
    <w:rsid w:val="006E0F25"/>
    <w:rPr>
      <w:rFonts w:cs="Times New Roman"/>
    </w:rPr>
  </w:style>
  <w:style w:type="character" w:customStyle="1" w:styleId="Referenciasutil1">
    <w:name w:val="Referencia sutil1"/>
    <w:rsid w:val="006E0F25"/>
    <w:rPr>
      <w:rFonts w:ascii="Times New Roman" w:hAnsi="Times New Roman" w:cs="Times New Roman"/>
      <w:smallCaps/>
      <w:color w:val="auto"/>
      <w:sz w:val="20"/>
    </w:rPr>
  </w:style>
  <w:style w:type="paragraph" w:customStyle="1" w:styleId="ak">
    <w:name w:val="ak"/>
    <w:basedOn w:val="Normal"/>
    <w:rsid w:val="006E0F25"/>
    <w:pPr>
      <w:spacing w:before="100" w:beforeAutospacing="1" w:after="100" w:afterAutospacing="1"/>
    </w:pPr>
    <w:rPr>
      <w:rFonts w:ascii="Times New Roman" w:hAnsi="Times New Roman" w:cs="Times New Roman"/>
      <w:sz w:val="24"/>
      <w:szCs w:val="24"/>
    </w:rPr>
  </w:style>
  <w:style w:type="paragraph" w:customStyle="1" w:styleId="parrafo">
    <w:name w:val="parrafo"/>
    <w:basedOn w:val="Normal"/>
    <w:rsid w:val="006E0F25"/>
    <w:pPr>
      <w:spacing w:before="100" w:beforeAutospacing="1" w:after="100" w:afterAutospacing="1"/>
    </w:pPr>
    <w:rPr>
      <w:rFonts w:ascii="Times New Roman" w:hAnsi="Times New Roman" w:cs="Times New Roman"/>
      <w:sz w:val="24"/>
      <w:szCs w:val="24"/>
    </w:rPr>
  </w:style>
  <w:style w:type="character" w:styleId="EjemplodeHTML">
    <w:name w:val="HTML Sample"/>
    <w:semiHidden/>
    <w:rsid w:val="006E0F25"/>
    <w:rPr>
      <w:rFonts w:ascii="Courier New" w:hAnsi="Courier New" w:cs="Courier New"/>
    </w:rPr>
  </w:style>
  <w:style w:type="paragraph" w:customStyle="1" w:styleId="parrafo2">
    <w:name w:val="parrafo_2"/>
    <w:basedOn w:val="Normal"/>
    <w:rsid w:val="006E0F25"/>
    <w:pPr>
      <w:spacing w:before="100" w:beforeAutospacing="1" w:after="100" w:afterAutospacing="1"/>
    </w:pPr>
    <w:rPr>
      <w:rFonts w:ascii="Times New Roman" w:hAnsi="Times New Roman" w:cs="Times New Roman"/>
      <w:sz w:val="24"/>
      <w:szCs w:val="24"/>
    </w:rPr>
  </w:style>
  <w:style w:type="character" w:customStyle="1" w:styleId="Referenciaintensa1">
    <w:name w:val="Referencia intensa1"/>
    <w:rsid w:val="006E0F25"/>
    <w:rPr>
      <w:rFonts w:cs="Times New Roman"/>
      <w:b/>
      <w:bCs/>
      <w:smallCaps/>
      <w:color w:val="4472C4"/>
      <w:spacing w:val="5"/>
    </w:rPr>
  </w:style>
  <w:style w:type="paragraph" w:customStyle="1" w:styleId="Revisin1">
    <w:name w:val="Revisión1"/>
    <w:hidden/>
    <w:semiHidden/>
    <w:rsid w:val="006E0F25"/>
    <w:pPr>
      <w:spacing w:after="0" w:line="240" w:lineRule="auto"/>
    </w:pPr>
    <w:rPr>
      <w:rFonts w:ascii="Times New Roman" w:eastAsia="Times New Roman" w:hAnsi="Times New Roman" w:cs="Times New Roman"/>
      <w:color w:val="000000"/>
      <w:sz w:val="24"/>
      <w:szCs w:val="24"/>
    </w:rPr>
  </w:style>
  <w:style w:type="character" w:customStyle="1" w:styleId="titulo1">
    <w:name w:val="titulo1"/>
    <w:rsid w:val="006E0F25"/>
    <w:rPr>
      <w:rFonts w:cs="Times New Roman"/>
    </w:rPr>
  </w:style>
  <w:style w:type="paragraph" w:customStyle="1" w:styleId="autores">
    <w:name w:val="autores"/>
    <w:basedOn w:val="Normal"/>
    <w:rsid w:val="006E0F25"/>
    <w:pPr>
      <w:spacing w:before="100" w:beforeAutospacing="1" w:after="100" w:afterAutospacing="1"/>
    </w:pPr>
    <w:rPr>
      <w:rFonts w:ascii="Times New Roman" w:hAnsi="Times New Roman" w:cs="Times New Roman"/>
      <w:sz w:val="24"/>
      <w:szCs w:val="24"/>
    </w:rPr>
  </w:style>
  <w:style w:type="paragraph" w:customStyle="1" w:styleId="localizacion">
    <w:name w:val="localizacion"/>
    <w:basedOn w:val="Normal"/>
    <w:rsid w:val="006E0F25"/>
    <w:pPr>
      <w:spacing w:before="100" w:beforeAutospacing="1" w:after="100" w:afterAutospacing="1"/>
    </w:pPr>
    <w:rPr>
      <w:rFonts w:ascii="Times New Roman" w:hAnsi="Times New Roman" w:cs="Times New Roman"/>
      <w:sz w:val="24"/>
      <w:szCs w:val="24"/>
    </w:rPr>
  </w:style>
  <w:style w:type="character" w:styleId="AcrnimoHTML">
    <w:name w:val="HTML Acronym"/>
    <w:semiHidden/>
    <w:rsid w:val="006E0F25"/>
    <w:rPr>
      <w:rFonts w:cs="Times New Roman"/>
    </w:rPr>
  </w:style>
  <w:style w:type="character" w:customStyle="1" w:styleId="author">
    <w:name w:val="author"/>
    <w:rsid w:val="006E0F25"/>
    <w:rPr>
      <w:rFonts w:cs="Times New Roman"/>
    </w:rPr>
  </w:style>
  <w:style w:type="paragraph" w:customStyle="1" w:styleId="CarCar2CarCarCar">
    <w:name w:val="Car Car2 Car Car Car"/>
    <w:basedOn w:val="Normal"/>
    <w:rsid w:val="006E0F25"/>
    <w:rPr>
      <w:rFonts w:ascii="Times New Roman" w:eastAsia="Times New Roman" w:hAnsi="Times New Roman" w:cs="Times New Roman"/>
      <w:sz w:val="24"/>
      <w:szCs w:val="24"/>
      <w:lang w:val="pl-PL" w:eastAsia="pl-PL"/>
    </w:rPr>
  </w:style>
  <w:style w:type="paragraph" w:customStyle="1" w:styleId="CarCar2CarCarCarCarCar">
    <w:name w:val="Car Car2 Car Car Car Car Car"/>
    <w:basedOn w:val="Normal"/>
    <w:rsid w:val="006E0F25"/>
    <w:rPr>
      <w:rFonts w:ascii="Times New Roman" w:eastAsia="Times New Roman" w:hAnsi="Times New Roman" w:cs="Times New Roman"/>
      <w:sz w:val="24"/>
      <w:szCs w:val="24"/>
      <w:lang w:val="pl-PL" w:eastAsia="pl-PL"/>
    </w:rPr>
  </w:style>
  <w:style w:type="character" w:styleId="Referenciasutil">
    <w:name w:val="Subtle Reference"/>
    <w:uiPriority w:val="31"/>
    <w:qFormat/>
    <w:rsid w:val="006E0F25"/>
    <w:rPr>
      <w:smallCaps/>
      <w:color w:val="5A5A5A"/>
    </w:rPr>
  </w:style>
  <w:style w:type="paragraph" w:customStyle="1" w:styleId="Default">
    <w:name w:val="Default"/>
    <w:rsid w:val="006E0F25"/>
    <w:pPr>
      <w:autoSpaceDE w:val="0"/>
      <w:autoSpaceDN w:val="0"/>
      <w:adjustRightInd w:val="0"/>
      <w:spacing w:after="0" w:line="240" w:lineRule="auto"/>
    </w:pPr>
    <w:rPr>
      <w:rFonts w:ascii="Times New Roman" w:eastAsia="Calibri" w:hAnsi="Times New Roman" w:cs="Times New Roman"/>
      <w:color w:val="000000"/>
      <w:sz w:val="24"/>
      <w:szCs w:val="24"/>
      <w:lang w:eastAsia="es-ES"/>
    </w:rPr>
  </w:style>
  <w:style w:type="paragraph" w:styleId="Prrafodelista">
    <w:name w:val="List Paragraph"/>
    <w:basedOn w:val="Normal"/>
    <w:link w:val="PrrafodelistaCar"/>
    <w:uiPriority w:val="34"/>
    <w:qFormat/>
    <w:rsid w:val="0044330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andard">
    <w:name w:val="Standard"/>
    <w:rsid w:val="00085FDA"/>
    <w:pPr>
      <w:widowControl w:val="0"/>
      <w:suppressAutoHyphens/>
      <w:autoSpaceDN w:val="0"/>
      <w:spacing w:after="0" w:line="240" w:lineRule="auto"/>
      <w:jc w:val="both"/>
      <w:textAlignment w:val="baseline"/>
    </w:pPr>
    <w:rPr>
      <w:rFonts w:ascii="Times New Roman" w:eastAsia="Andale Sans UI" w:hAnsi="Times New Roman" w:cs="Tahoma"/>
      <w:kern w:val="3"/>
      <w:sz w:val="24"/>
      <w:szCs w:val="24"/>
      <w:lang w:eastAsia="es-ES"/>
    </w:rPr>
  </w:style>
  <w:style w:type="paragraph" w:styleId="Textoindependiente">
    <w:name w:val="Body Text"/>
    <w:basedOn w:val="Normal"/>
    <w:link w:val="TextoindependienteCar"/>
    <w:uiPriority w:val="1"/>
    <w:qFormat/>
    <w:rsid w:val="00085FDA"/>
    <w:pPr>
      <w:autoSpaceDE w:val="0"/>
      <w:spacing w:line="360" w:lineRule="auto"/>
      <w:jc w:val="both"/>
    </w:pPr>
    <w:rPr>
      <w:rFonts w:ascii="Times New Roman" w:eastAsia="Times New Roman" w:hAnsi="Times New Roman" w:cs="Times New Roman"/>
      <w:sz w:val="24"/>
      <w:szCs w:val="24"/>
      <w:lang w:val="en-US" w:eastAsia="en-US" w:bidi="en-US"/>
    </w:rPr>
  </w:style>
  <w:style w:type="character" w:customStyle="1" w:styleId="TextoindependienteCar">
    <w:name w:val="Texto independiente Car"/>
    <w:basedOn w:val="Fuentedeprrafopredeter"/>
    <w:link w:val="Textoindependiente"/>
    <w:uiPriority w:val="1"/>
    <w:rsid w:val="00085FDA"/>
    <w:rPr>
      <w:rFonts w:ascii="Times New Roman" w:eastAsia="Times New Roman" w:hAnsi="Times New Roman" w:cs="Times New Roman"/>
      <w:sz w:val="24"/>
      <w:szCs w:val="24"/>
      <w:lang w:val="en-US" w:bidi="en-US"/>
    </w:rPr>
  </w:style>
  <w:style w:type="paragraph" w:customStyle="1" w:styleId="Ttulo11">
    <w:name w:val="Título 11"/>
    <w:basedOn w:val="Normal"/>
    <w:uiPriority w:val="1"/>
    <w:qFormat/>
    <w:rsid w:val="00085FDA"/>
    <w:pPr>
      <w:autoSpaceDE w:val="0"/>
      <w:spacing w:line="360" w:lineRule="auto"/>
      <w:ind w:left="341" w:hanging="240"/>
      <w:jc w:val="both"/>
      <w:outlineLvl w:val="1"/>
    </w:pPr>
    <w:rPr>
      <w:rFonts w:ascii="Times New Roman" w:eastAsia="Times New Roman" w:hAnsi="Times New Roman" w:cs="Times New Roman"/>
      <w:b/>
      <w:bCs/>
      <w:sz w:val="24"/>
      <w:szCs w:val="24"/>
      <w:lang w:val="en-US" w:eastAsia="en-US" w:bidi="en-US"/>
    </w:rPr>
  </w:style>
  <w:style w:type="paragraph" w:styleId="Sangra3detindependiente">
    <w:name w:val="Body Text Indent 3"/>
    <w:basedOn w:val="Normal"/>
    <w:link w:val="Sangra3detindependienteCar"/>
    <w:rsid w:val="00085FDA"/>
    <w:pPr>
      <w:spacing w:after="120"/>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085FDA"/>
    <w:rPr>
      <w:rFonts w:ascii="Times New Roman" w:eastAsia="Times New Roman" w:hAnsi="Times New Roman" w:cs="Times New Roman"/>
      <w:sz w:val="16"/>
      <w:szCs w:val="16"/>
      <w:lang w:eastAsia="es-ES"/>
    </w:rPr>
  </w:style>
  <w:style w:type="character" w:customStyle="1" w:styleId="content">
    <w:name w:val="content"/>
    <w:basedOn w:val="Fuentedeprrafopredeter"/>
    <w:rsid w:val="00085FDA"/>
  </w:style>
  <w:style w:type="character" w:customStyle="1" w:styleId="separator">
    <w:name w:val="separator"/>
    <w:basedOn w:val="Fuentedeprrafopredeter"/>
    <w:rsid w:val="00085FDA"/>
  </w:style>
  <w:style w:type="paragraph" w:customStyle="1" w:styleId="a0">
    <w:name w:val="Абзац"/>
    <w:basedOn w:val="Normal"/>
    <w:rsid w:val="007901CF"/>
    <w:pPr>
      <w:spacing w:line="360" w:lineRule="auto"/>
      <w:ind w:firstLine="709"/>
      <w:jc w:val="both"/>
    </w:pPr>
    <w:rPr>
      <w:rFonts w:ascii="Times New Roman" w:eastAsia="Times New Roman" w:hAnsi="Times New Roman" w:cs="Times New Roman"/>
      <w:sz w:val="28"/>
      <w:szCs w:val="24"/>
      <w:lang w:val="ru-RU" w:eastAsia="ru-RU"/>
    </w:rPr>
  </w:style>
  <w:style w:type="character" w:customStyle="1" w:styleId="longtext">
    <w:name w:val="long_text"/>
    <w:basedOn w:val="Fuentedeprrafopredeter"/>
    <w:rsid w:val="007901CF"/>
  </w:style>
  <w:style w:type="character" w:customStyle="1" w:styleId="PrrafodelistaCar">
    <w:name w:val="Párrafo de lista Car"/>
    <w:link w:val="Prrafodelista"/>
    <w:uiPriority w:val="34"/>
    <w:locked/>
    <w:rsid w:val="00CF1325"/>
  </w:style>
  <w:style w:type="paragraph" w:customStyle="1" w:styleId="Estilo3">
    <w:name w:val="Estilo3"/>
    <w:basedOn w:val="Normal"/>
    <w:next w:val="Normal"/>
    <w:link w:val="Estilo3Car"/>
    <w:qFormat/>
    <w:rsid w:val="00CF1325"/>
    <w:pPr>
      <w:autoSpaceDE w:val="0"/>
      <w:autoSpaceDN w:val="0"/>
      <w:adjustRightInd w:val="0"/>
      <w:spacing w:before="240"/>
      <w:ind w:left="-284" w:firstLine="284"/>
      <w:jc w:val="both"/>
    </w:pPr>
    <w:rPr>
      <w:rFonts w:ascii="Times New Roman" w:eastAsiaTheme="minorHAnsi" w:hAnsi="Times New Roman" w:cs="Times New Roman"/>
      <w:color w:val="000000"/>
      <w:lang w:eastAsia="en-US"/>
    </w:rPr>
  </w:style>
  <w:style w:type="character" w:customStyle="1" w:styleId="Estilo3Car">
    <w:name w:val="Estilo3 Car"/>
    <w:basedOn w:val="Fuentedeprrafopredeter"/>
    <w:link w:val="Estilo3"/>
    <w:rsid w:val="00CF1325"/>
    <w:rPr>
      <w:rFonts w:ascii="Times New Roman" w:hAnsi="Times New Roman" w:cs="Times New Roman"/>
      <w:color w:val="000000"/>
      <w:sz w:val="20"/>
      <w:szCs w:val="20"/>
    </w:rPr>
  </w:style>
  <w:style w:type="paragraph" w:customStyle="1" w:styleId="Estilo1">
    <w:name w:val="Estilo1"/>
    <w:basedOn w:val="Normal"/>
    <w:link w:val="Estilo1Car"/>
    <w:uiPriority w:val="99"/>
    <w:qFormat/>
    <w:rsid w:val="00CF1325"/>
    <w:pPr>
      <w:spacing w:after="200" w:line="276" w:lineRule="auto"/>
      <w:ind w:left="2127" w:right="-427" w:hanging="1985"/>
      <w:jc w:val="both"/>
    </w:pPr>
    <w:rPr>
      <w:rFonts w:ascii="Times New Roman" w:eastAsia="Times New Roman" w:hAnsi="Times New Roman" w:cs="Times New Roman"/>
    </w:rPr>
  </w:style>
  <w:style w:type="character" w:customStyle="1" w:styleId="Estilo1Car">
    <w:name w:val="Estilo1 Car"/>
    <w:basedOn w:val="Fuentedeprrafopredeter"/>
    <w:link w:val="Estilo1"/>
    <w:uiPriority w:val="99"/>
    <w:rsid w:val="00CF1325"/>
    <w:rPr>
      <w:rFonts w:ascii="Times New Roman" w:eastAsia="Times New Roman" w:hAnsi="Times New Roman" w:cs="Times New Roman"/>
      <w:sz w:val="20"/>
      <w:szCs w:val="20"/>
      <w:lang w:eastAsia="es-ES"/>
    </w:rPr>
  </w:style>
  <w:style w:type="paragraph" w:customStyle="1" w:styleId="CarCar1">
    <w:name w:val=" Car Car1"/>
    <w:basedOn w:val="Normal"/>
    <w:rsid w:val="001A5540"/>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57622">
      <w:bodyDiv w:val="1"/>
      <w:marLeft w:val="0"/>
      <w:marRight w:val="0"/>
      <w:marTop w:val="0"/>
      <w:marBottom w:val="0"/>
      <w:divBdr>
        <w:top w:val="none" w:sz="0" w:space="0" w:color="auto"/>
        <w:left w:val="none" w:sz="0" w:space="0" w:color="auto"/>
        <w:bottom w:val="none" w:sz="0" w:space="0" w:color="auto"/>
        <w:right w:val="none" w:sz="0" w:space="0" w:color="auto"/>
      </w:divBdr>
    </w:div>
    <w:div w:id="208997310">
      <w:bodyDiv w:val="1"/>
      <w:marLeft w:val="0"/>
      <w:marRight w:val="0"/>
      <w:marTop w:val="0"/>
      <w:marBottom w:val="0"/>
      <w:divBdr>
        <w:top w:val="none" w:sz="0" w:space="0" w:color="auto"/>
        <w:left w:val="none" w:sz="0" w:space="0" w:color="auto"/>
        <w:bottom w:val="none" w:sz="0" w:space="0" w:color="auto"/>
        <w:right w:val="none" w:sz="0" w:space="0" w:color="auto"/>
      </w:divBdr>
    </w:div>
    <w:div w:id="210003234">
      <w:bodyDiv w:val="1"/>
      <w:marLeft w:val="0"/>
      <w:marRight w:val="0"/>
      <w:marTop w:val="0"/>
      <w:marBottom w:val="0"/>
      <w:divBdr>
        <w:top w:val="none" w:sz="0" w:space="0" w:color="auto"/>
        <w:left w:val="none" w:sz="0" w:space="0" w:color="auto"/>
        <w:bottom w:val="none" w:sz="0" w:space="0" w:color="auto"/>
        <w:right w:val="none" w:sz="0" w:space="0" w:color="auto"/>
      </w:divBdr>
    </w:div>
    <w:div w:id="1705867428">
      <w:bodyDiv w:val="1"/>
      <w:marLeft w:val="0"/>
      <w:marRight w:val="0"/>
      <w:marTop w:val="0"/>
      <w:marBottom w:val="0"/>
      <w:divBdr>
        <w:top w:val="none" w:sz="0" w:space="0" w:color="auto"/>
        <w:left w:val="none" w:sz="0" w:space="0" w:color="auto"/>
        <w:bottom w:val="none" w:sz="0" w:space="0" w:color="auto"/>
        <w:right w:val="none" w:sz="0" w:space="0" w:color="auto"/>
      </w:divBdr>
    </w:div>
    <w:div w:id="1861972847">
      <w:bodyDiv w:val="1"/>
      <w:marLeft w:val="0"/>
      <w:marRight w:val="0"/>
      <w:marTop w:val="0"/>
      <w:marBottom w:val="0"/>
      <w:divBdr>
        <w:top w:val="none" w:sz="0" w:space="0" w:color="auto"/>
        <w:left w:val="none" w:sz="0" w:space="0" w:color="auto"/>
        <w:bottom w:val="none" w:sz="0" w:space="0" w:color="auto"/>
        <w:right w:val="none" w:sz="0" w:space="0" w:color="auto"/>
      </w:divBdr>
    </w:div>
    <w:div w:id="21286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ridrom.uclm.es/documentos24/lopez24.pdf"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idrom.uclm.e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ersonalizado 1">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85705-955C-438A-BB69-37607554F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1465</Words>
  <Characters>8063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LÓPEZ RENDO, Carmen/AZAUSTRE, María José. Sumisión y residencia habitual en el Reglamento Europeo de Sucesiones: fundamentos romanísticos. RIDROM [on line]. 24-2020.  ISSN 1989-1970.  p. 150-260.</vt:lpstr>
    </vt:vector>
  </TitlesOfParts>
  <Manager>Gustavo de las Heras</Manager>
  <Company>RIDROM</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LÓPEZ RENDO, Carmen/AZAUSTRE, María José. Sumisión y residencia habitual en el Reglamento Europeo de Sucesiones: fundamentos romanísticos. RIDROM [on line]. 24-2020.  ISSN 1989-1970.  p. 150-260.</dc:title>
  <dc:subject>CARRASCOSA, Javier. LÓPEZ RENDO, Carmen/AZAUSTRE, María José. Sumisión y residencia habitual en el Reglamento Europeo de Sucesiones: fundamentos romanísticos. RIDROM [on line]. 24-2020.  ISSN 1989-1970.  p. 150-260. RIDROM [on line]. 25-2020.  ISSN 1989-1970.  p. 278-282. http://www.ridrom.uclm.es</dc:subject>
  <dc:creator>CARRASCOSA, Javier</dc:creator>
  <cp:keywords>recensión</cp:keywords>
  <dc:description>recensión_x000d_
</dc:description>
  <cp:lastModifiedBy>Gustavo Raúl de las Heras Sánchez</cp:lastModifiedBy>
  <cp:revision>5</cp:revision>
  <cp:lastPrinted>2020-10-23T19:07:00Z</cp:lastPrinted>
  <dcterms:created xsi:type="dcterms:W3CDTF">2020-10-24T16:18:00Z</dcterms:created>
  <dcterms:modified xsi:type="dcterms:W3CDTF">2020-10-24T18:03:00Z</dcterms:modified>
</cp:coreProperties>
</file>