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5534414D" w:rsidR="003E0BEE" w:rsidRPr="003E0BEE" w:rsidRDefault="00961AF5"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EAEBBF4" w14:textId="77777777" w:rsidR="009375D2" w:rsidRDefault="009375D2" w:rsidP="00961AF5">
            <w:pPr>
              <w:jc w:val="center"/>
              <w:rPr>
                <w:rFonts w:ascii="Book Antiqua" w:hAnsi="Book Antiqua"/>
                <w:b/>
                <w:bCs/>
                <w:sz w:val="24"/>
                <w:szCs w:val="24"/>
              </w:rPr>
            </w:pPr>
          </w:p>
          <w:p w14:paraId="7DE5C443" w14:textId="41F35272" w:rsidR="00961AF5" w:rsidRPr="005E0BD6" w:rsidRDefault="009375D2" w:rsidP="00961AF5">
            <w:pPr>
              <w:jc w:val="center"/>
              <w:rPr>
                <w:rFonts w:ascii="Book Antiqua" w:hAnsi="Book Antiqua"/>
                <w:b/>
                <w:bCs/>
                <w:sz w:val="24"/>
                <w:szCs w:val="24"/>
              </w:rPr>
            </w:pPr>
            <w:r w:rsidRPr="009375D2">
              <w:rPr>
                <w:rFonts w:ascii="Book Antiqua" w:hAnsi="Book Antiqua"/>
                <w:b/>
                <w:bCs/>
                <w:sz w:val="24"/>
                <w:szCs w:val="24"/>
              </w:rPr>
              <w:t xml:space="preserve">López-Rendo Rodríguez, Mª del Carmen - </w:t>
            </w:r>
            <w:proofErr w:type="spellStart"/>
            <w:r w:rsidRPr="009375D2">
              <w:rPr>
                <w:rFonts w:ascii="Book Antiqua" w:hAnsi="Book Antiqua"/>
                <w:b/>
                <w:bCs/>
                <w:sz w:val="24"/>
                <w:szCs w:val="24"/>
              </w:rPr>
              <w:t>Azaustre</w:t>
            </w:r>
            <w:proofErr w:type="spellEnd"/>
            <w:r w:rsidRPr="009375D2">
              <w:rPr>
                <w:rFonts w:ascii="Book Antiqua" w:hAnsi="Book Antiqua"/>
                <w:b/>
                <w:bCs/>
                <w:sz w:val="24"/>
                <w:szCs w:val="24"/>
              </w:rPr>
              <w:t xml:space="preserve"> Fernández, Mª José,</w:t>
            </w:r>
            <w:r w:rsidRPr="009375D2">
              <w:rPr>
                <w:rFonts w:ascii="Book Antiqua" w:hAnsi="Book Antiqua"/>
                <w:b/>
                <w:bCs/>
                <w:i/>
                <w:sz w:val="24"/>
                <w:szCs w:val="24"/>
              </w:rPr>
              <w:t xml:space="preserve"> Sumisión y residencia habitual en el Reglamento Europeo de Sucesiones: Fundamentos </w:t>
            </w:r>
            <w:proofErr w:type="spellStart"/>
            <w:r w:rsidRPr="009375D2">
              <w:rPr>
                <w:rFonts w:ascii="Book Antiqua" w:hAnsi="Book Antiqua"/>
                <w:b/>
                <w:bCs/>
                <w:i/>
                <w:sz w:val="24"/>
                <w:szCs w:val="24"/>
              </w:rPr>
              <w:t>romanísticos</w:t>
            </w:r>
            <w:proofErr w:type="spellEnd"/>
            <w:r w:rsidRPr="009375D2">
              <w:rPr>
                <w:rFonts w:ascii="Book Antiqua" w:hAnsi="Book Antiqua"/>
                <w:b/>
                <w:bCs/>
                <w:sz w:val="24"/>
                <w:szCs w:val="24"/>
              </w:rPr>
              <w:t xml:space="preserve">, en RIDROM: Revista Internacional de Derecho Romano, </w:t>
            </w:r>
            <w:proofErr w:type="spellStart"/>
            <w:r w:rsidRPr="009375D2">
              <w:rPr>
                <w:rFonts w:ascii="Book Antiqua" w:hAnsi="Book Antiqua"/>
                <w:b/>
                <w:bCs/>
                <w:sz w:val="24"/>
                <w:szCs w:val="24"/>
              </w:rPr>
              <w:t>nº</w:t>
            </w:r>
            <w:proofErr w:type="spellEnd"/>
            <w:r w:rsidRPr="009375D2">
              <w:rPr>
                <w:rFonts w:ascii="Book Antiqua" w:hAnsi="Book Antiqua"/>
                <w:b/>
                <w:bCs/>
                <w:sz w:val="24"/>
                <w:szCs w:val="24"/>
              </w:rPr>
              <w:t xml:space="preserve"> 24, 2020, págs. 150-260</w:t>
            </w:r>
            <w:r>
              <w:rPr>
                <w:rFonts w:ascii="Book Antiqua" w:hAnsi="Book Antiqua"/>
                <w:b/>
                <w:bCs/>
                <w:sz w:val="24"/>
                <w:szCs w:val="24"/>
              </w:rPr>
              <w:t>.</w:t>
            </w:r>
          </w:p>
          <w:p w14:paraId="72A74369" w14:textId="77777777" w:rsidR="00961AF5" w:rsidRPr="005E0BD6" w:rsidRDefault="00961AF5" w:rsidP="00961AF5">
            <w:pPr>
              <w:jc w:val="center"/>
              <w:rPr>
                <w:rFonts w:ascii="Book Antiqua" w:hAnsi="Book Antiqua"/>
                <w:b/>
                <w:bCs/>
                <w:sz w:val="24"/>
                <w:szCs w:val="24"/>
              </w:rPr>
            </w:pPr>
          </w:p>
          <w:p w14:paraId="3A20F13B" w14:textId="77777777" w:rsidR="00961AF5" w:rsidRDefault="00961AF5" w:rsidP="00961AF5">
            <w:pPr>
              <w:jc w:val="center"/>
              <w:rPr>
                <w:rFonts w:ascii="Book Antiqua" w:hAnsi="Book Antiqua"/>
                <w:b/>
                <w:bCs/>
                <w:sz w:val="24"/>
                <w:szCs w:val="24"/>
              </w:rPr>
            </w:pPr>
          </w:p>
          <w:p w14:paraId="6BCFDA37" w14:textId="77777777" w:rsidR="00961AF5" w:rsidRDefault="00961AF5" w:rsidP="00961AF5">
            <w:pPr>
              <w:jc w:val="center"/>
              <w:rPr>
                <w:rFonts w:ascii="Book Antiqua" w:hAnsi="Book Antiqua"/>
                <w:b/>
                <w:bCs/>
                <w:sz w:val="24"/>
                <w:szCs w:val="24"/>
              </w:rPr>
            </w:pPr>
          </w:p>
          <w:p w14:paraId="581838EC" w14:textId="77777777" w:rsidR="00961AF5" w:rsidRDefault="00961AF5" w:rsidP="00961AF5">
            <w:pPr>
              <w:jc w:val="center"/>
              <w:rPr>
                <w:rFonts w:ascii="Book Antiqua" w:hAnsi="Book Antiqua"/>
                <w:b/>
                <w:bCs/>
                <w:sz w:val="24"/>
                <w:szCs w:val="24"/>
              </w:rPr>
            </w:pPr>
          </w:p>
          <w:p w14:paraId="702C4B94" w14:textId="77777777" w:rsidR="00F563FE" w:rsidRPr="00576A5F" w:rsidRDefault="00F563FE" w:rsidP="00F563F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r>
              <w:rPr>
                <w:rFonts w:ascii="Book Antiqua" w:hAnsi="Book Antiqua" w:cs="Arial"/>
                <w:b/>
                <w:bCs/>
                <w:color w:val="000000"/>
              </w:rPr>
              <w:t>Alfonso Murillo</w:t>
            </w:r>
          </w:p>
          <w:p w14:paraId="6E5C62B3" w14:textId="77777777" w:rsidR="00F563FE" w:rsidRDefault="00F563FE" w:rsidP="00F563FE">
            <w:pPr>
              <w:jc w:val="center"/>
              <w:rPr>
                <w:rFonts w:ascii="Book Antiqua" w:hAnsi="Book Antiqua"/>
                <w:sz w:val="28"/>
                <w:szCs w:val="28"/>
              </w:rPr>
            </w:pPr>
            <w:r w:rsidRPr="00576A5F">
              <w:rPr>
                <w:rFonts w:ascii="Book Antiqua" w:hAnsi="Book Antiqua"/>
                <w:color w:val="000000"/>
              </w:rPr>
              <w:t xml:space="preserve">Universidad de </w:t>
            </w:r>
            <w:r>
              <w:rPr>
                <w:rFonts w:ascii="Book Antiqua" w:hAnsi="Book Antiqua"/>
                <w:color w:val="000000"/>
              </w:rPr>
              <w:t>Burgos</w:t>
            </w:r>
          </w:p>
          <w:p w14:paraId="694369A2" w14:textId="77777777" w:rsidR="00F563FE" w:rsidRPr="00862433" w:rsidRDefault="00F563FE" w:rsidP="00F563FE">
            <w:pPr>
              <w:jc w:val="center"/>
              <w:rPr>
                <w:rFonts w:ascii="Book Antiqua" w:hAnsi="Book Antiqua" w:cs="Times New Roman"/>
              </w:rPr>
            </w:pPr>
            <w:hyperlink r:id="rId10" w:history="1">
              <w:r w:rsidRPr="00862433">
                <w:rPr>
                  <w:rStyle w:val="Hipervnculo"/>
                  <w:rFonts w:ascii="Book Antiqua" w:hAnsi="Book Antiqua" w:cs="Times New Roman"/>
                </w:rPr>
                <w:t>almuvi@ubu.es</w:t>
              </w:r>
            </w:hyperlink>
          </w:p>
          <w:p w14:paraId="5680330A" w14:textId="5A384863" w:rsidR="004A7EA3" w:rsidRDefault="00F563FE" w:rsidP="00F563FE">
            <w:pPr>
              <w:jc w:val="center"/>
              <w:rPr>
                <w:rFonts w:ascii="Book Antiqua" w:hAnsi="Book Antiqua"/>
                <w:lang w:val="fr-FR"/>
              </w:rPr>
            </w:pPr>
            <w:proofErr w:type="spellStart"/>
            <w:r w:rsidRPr="00862433">
              <w:rPr>
                <w:rFonts w:ascii="Book Antiqua" w:hAnsi="Book Antiqua" w:cs="Times New Roman"/>
              </w:rPr>
              <w:t>ORCID</w:t>
            </w:r>
            <w:proofErr w:type="spellEnd"/>
            <w:r w:rsidRPr="00862433">
              <w:rPr>
                <w:rFonts w:ascii="Book Antiqua" w:hAnsi="Book Antiqua" w:cs="Times New Roman"/>
              </w:rPr>
              <w:t>: 0000-0003-2571-6550</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006D3FA2" w:rsidR="001F5F99" w:rsidRDefault="001F5F99" w:rsidP="004D64E8">
            <w:pPr>
              <w:jc w:val="center"/>
              <w:rPr>
                <w:rFonts w:ascii="Book Antiqua" w:eastAsia="Times New Roman" w:hAnsi="Book Antiqua"/>
                <w:sz w:val="24"/>
              </w:rPr>
            </w:pPr>
          </w:p>
          <w:p w14:paraId="7A2EE1F8" w14:textId="739FE92B" w:rsidR="009375D2" w:rsidRDefault="009375D2" w:rsidP="004D64E8">
            <w:pPr>
              <w:jc w:val="center"/>
              <w:rPr>
                <w:rFonts w:ascii="Book Antiqua" w:eastAsia="Times New Roman" w:hAnsi="Book Antiqua"/>
                <w:sz w:val="24"/>
              </w:rPr>
            </w:pPr>
          </w:p>
          <w:p w14:paraId="58C10896" w14:textId="007346FA" w:rsidR="009375D2" w:rsidRDefault="009375D2" w:rsidP="004D64E8">
            <w:pPr>
              <w:jc w:val="center"/>
              <w:rPr>
                <w:rFonts w:ascii="Book Antiqua" w:eastAsia="Times New Roman" w:hAnsi="Book Antiqua"/>
                <w:sz w:val="24"/>
              </w:rPr>
            </w:pPr>
          </w:p>
          <w:p w14:paraId="6176882F" w14:textId="1B536917" w:rsidR="009375D2" w:rsidRDefault="009375D2" w:rsidP="004D64E8">
            <w:pPr>
              <w:jc w:val="center"/>
              <w:rPr>
                <w:rFonts w:ascii="Book Antiqua" w:eastAsia="Times New Roman" w:hAnsi="Book Antiqua"/>
                <w:sz w:val="24"/>
              </w:rPr>
            </w:pPr>
          </w:p>
          <w:p w14:paraId="69F35984" w14:textId="77777777" w:rsidR="009375D2" w:rsidRDefault="009375D2"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7AD9DE21"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F563FE" w:rsidRPr="00F563FE">
              <w:rPr>
                <w:rFonts w:ascii="Book Antiqua" w:eastAsia="Times New Roman" w:hAnsi="Book Antiqua"/>
                <w:b/>
                <w:bCs/>
              </w:rPr>
              <w:t>MURILLO, Alfonso</w:t>
            </w:r>
            <w:r w:rsidR="00961AF5">
              <w:rPr>
                <w:rFonts w:ascii="Book Antiqua" w:hAnsi="Book Antiqua"/>
                <w:b/>
                <w:bCs/>
              </w:rPr>
              <w:t xml:space="preserve">. </w:t>
            </w:r>
            <w:r w:rsidR="009375D2" w:rsidRPr="009375D2">
              <w:rPr>
                <w:rFonts w:ascii="Book Antiqua" w:hAnsi="Book Antiqua"/>
                <w:b/>
                <w:bCs/>
              </w:rPr>
              <w:t xml:space="preserve">López-Rendo Rodríguez, Mª del Carmen - </w:t>
            </w:r>
            <w:proofErr w:type="spellStart"/>
            <w:r w:rsidR="009375D2" w:rsidRPr="009375D2">
              <w:rPr>
                <w:rFonts w:ascii="Book Antiqua" w:hAnsi="Book Antiqua"/>
                <w:b/>
                <w:bCs/>
              </w:rPr>
              <w:t>Azaustre</w:t>
            </w:r>
            <w:proofErr w:type="spellEnd"/>
            <w:r w:rsidR="009375D2" w:rsidRPr="009375D2">
              <w:rPr>
                <w:rFonts w:ascii="Book Antiqua" w:hAnsi="Book Antiqua"/>
                <w:b/>
                <w:bCs/>
              </w:rPr>
              <w:t xml:space="preserve"> Fernández, Mª José,</w:t>
            </w:r>
            <w:r w:rsidR="009375D2" w:rsidRPr="009375D2">
              <w:rPr>
                <w:rFonts w:ascii="Book Antiqua" w:hAnsi="Book Antiqua"/>
                <w:b/>
                <w:bCs/>
                <w:i/>
              </w:rPr>
              <w:t xml:space="preserve"> Sumisión y residencia habitual en el Reglamento Europeo de Sucesiones: Fundamentos </w:t>
            </w:r>
            <w:proofErr w:type="spellStart"/>
            <w:r w:rsidR="009375D2" w:rsidRPr="009375D2">
              <w:rPr>
                <w:rFonts w:ascii="Book Antiqua" w:hAnsi="Book Antiqua"/>
                <w:b/>
                <w:bCs/>
                <w:i/>
              </w:rPr>
              <w:t>romanísticos</w:t>
            </w:r>
            <w:proofErr w:type="spellEnd"/>
            <w:r w:rsidR="009375D2" w:rsidRPr="009375D2">
              <w:rPr>
                <w:rFonts w:ascii="Book Antiqua" w:hAnsi="Book Antiqua"/>
                <w:b/>
                <w:bCs/>
              </w:rPr>
              <w:t xml:space="preserve">, en RIDROM: Revista Internacional de Derecho Romano, </w:t>
            </w:r>
            <w:proofErr w:type="spellStart"/>
            <w:r w:rsidR="009375D2" w:rsidRPr="009375D2">
              <w:rPr>
                <w:rFonts w:ascii="Book Antiqua" w:hAnsi="Book Antiqua"/>
                <w:b/>
                <w:bCs/>
              </w:rPr>
              <w:t>nº</w:t>
            </w:r>
            <w:proofErr w:type="spellEnd"/>
            <w:r w:rsidR="009375D2" w:rsidRPr="009375D2">
              <w:rPr>
                <w:rFonts w:ascii="Book Antiqua" w:hAnsi="Book Antiqua"/>
                <w:b/>
                <w:bCs/>
              </w:rPr>
              <w:t xml:space="preserve"> 24, 2020, págs. 150-260</w:t>
            </w:r>
            <w:r w:rsidR="00911B9D" w:rsidRPr="00911B9D">
              <w:rPr>
                <w:rFonts w:ascii="Book Antiqua" w:hAnsi="Book Antiqua"/>
                <w:b/>
                <w:bCs/>
                <w:sz w:val="24"/>
                <w:szCs w:val="24"/>
              </w:rPr>
              <w:t>.</w:t>
            </w:r>
            <w:r w:rsidRPr="00687DAD">
              <w:rPr>
                <w:rFonts w:ascii="Book Antiqua" w:eastAsia="Times New Roman" w:hAnsi="Book Antiqua"/>
                <w:b/>
                <w:bCs/>
              </w:rPr>
              <w:t xml:space="preserve"> RIDROM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2B6A01">
              <w:rPr>
                <w:rFonts w:ascii="Book Antiqua" w:eastAsia="Times New Roman" w:hAnsi="Book Antiqua"/>
                <w:b/>
                <w:bCs/>
              </w:rPr>
              <w:t>6</w:t>
            </w:r>
            <w:r w:rsidRPr="00687DAD">
              <w:rPr>
                <w:rFonts w:ascii="Book Antiqua" w:eastAsia="Times New Roman" w:hAnsi="Book Antiqua"/>
                <w:b/>
                <w:bCs/>
              </w:rPr>
              <w:t>-20</w:t>
            </w:r>
            <w:r w:rsidR="00687DAD">
              <w:rPr>
                <w:rFonts w:ascii="Book Antiqua" w:eastAsia="Times New Roman" w:hAnsi="Book Antiqua"/>
                <w:b/>
                <w:bCs/>
              </w:rPr>
              <w:t>2</w:t>
            </w:r>
            <w:r w:rsidR="002B6A01">
              <w:rPr>
                <w:rFonts w:ascii="Book Antiqua" w:eastAsia="Times New Roman" w:hAnsi="Book Antiqua"/>
                <w:b/>
                <w:bCs/>
              </w:rPr>
              <w:t>1</w:t>
            </w:r>
            <w:r w:rsidRPr="00687DAD">
              <w:rPr>
                <w:rFonts w:ascii="Book Antiqua" w:eastAsia="Times New Roman" w:hAnsi="Book Antiqua"/>
                <w:b/>
                <w:bCs/>
              </w:rPr>
              <w:t xml:space="preserve">.  ISSN 1989-1970.  p. </w:t>
            </w:r>
            <w:r w:rsidR="002B6A01">
              <w:rPr>
                <w:rFonts w:ascii="Book Antiqua" w:eastAsia="Times New Roman" w:hAnsi="Book Antiqua"/>
                <w:b/>
                <w:bCs/>
              </w:rPr>
              <w:t>5</w:t>
            </w:r>
            <w:r w:rsidR="009375D2">
              <w:rPr>
                <w:rFonts w:ascii="Book Antiqua" w:eastAsia="Times New Roman" w:hAnsi="Book Antiqua"/>
                <w:b/>
                <w:bCs/>
              </w:rPr>
              <w:t>35</w:t>
            </w:r>
            <w:r w:rsidRPr="00687DAD">
              <w:rPr>
                <w:rFonts w:ascii="Book Antiqua" w:eastAsia="Times New Roman" w:hAnsi="Book Antiqua"/>
                <w:b/>
                <w:bCs/>
              </w:rPr>
              <w:t>-</w:t>
            </w:r>
            <w:r w:rsidR="004C0B45">
              <w:rPr>
                <w:rFonts w:ascii="Book Antiqua" w:eastAsia="Times New Roman" w:hAnsi="Book Antiqua"/>
                <w:b/>
                <w:bCs/>
              </w:rPr>
              <w:t>5</w:t>
            </w:r>
            <w:r w:rsidR="00C96516">
              <w:rPr>
                <w:rFonts w:ascii="Book Antiqua" w:eastAsia="Times New Roman" w:hAnsi="Book Antiqua"/>
                <w:b/>
                <w:bCs/>
              </w:rPr>
              <w:t>40</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9375D2">
          <w:headerReference w:type="default" r:id="rId12"/>
          <w:footerReference w:type="default" r:id="rId13"/>
          <w:footerReference w:type="first" r:id="rId14"/>
          <w:pgSz w:w="11900" w:h="16838"/>
          <w:pgMar w:top="737" w:right="1026" w:bottom="50" w:left="1020" w:header="340" w:footer="567" w:gutter="0"/>
          <w:pgNumType w:start="535"/>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1B16CA50" w14:textId="188B17F2" w:rsidR="00C96516" w:rsidRDefault="00C96516" w:rsidP="004C0B45">
      <w:pPr>
        <w:spacing w:line="360" w:lineRule="auto"/>
        <w:jc w:val="both"/>
        <w:rPr>
          <w:rFonts w:ascii="Book Antiqua" w:hAnsi="Book Antiqua" w:cs="Times New Roman"/>
          <w:sz w:val="24"/>
          <w:szCs w:val="24"/>
        </w:rPr>
      </w:pPr>
      <w:r w:rsidRPr="00DC1016">
        <w:rPr>
          <w:rFonts w:ascii="Book Antiqua" w:hAnsi="Book Antiqua" w:cs="Times New Roman"/>
          <w:b/>
          <w:bCs/>
          <w:smallCaps/>
          <w:sz w:val="24"/>
          <w:szCs w:val="24"/>
        </w:rPr>
        <w:t xml:space="preserve">López-Rendo Rodríguez, Mª del Carmen - </w:t>
      </w:r>
      <w:proofErr w:type="spellStart"/>
      <w:r w:rsidRPr="00DC1016">
        <w:rPr>
          <w:rFonts w:ascii="Book Antiqua" w:hAnsi="Book Antiqua" w:cs="Times New Roman"/>
          <w:b/>
          <w:bCs/>
          <w:smallCaps/>
          <w:sz w:val="24"/>
          <w:szCs w:val="24"/>
        </w:rPr>
        <w:t>Azaustre</w:t>
      </w:r>
      <w:proofErr w:type="spellEnd"/>
      <w:r w:rsidRPr="00DC1016">
        <w:rPr>
          <w:rFonts w:ascii="Book Antiqua" w:hAnsi="Book Antiqua" w:cs="Times New Roman"/>
          <w:b/>
          <w:bCs/>
          <w:smallCaps/>
          <w:sz w:val="24"/>
          <w:szCs w:val="24"/>
        </w:rPr>
        <w:t xml:space="preserve"> Fernández, Mª José,</w:t>
      </w:r>
      <w:r w:rsidRPr="00DC1016">
        <w:rPr>
          <w:rFonts w:ascii="Book Antiqua" w:hAnsi="Book Antiqua" w:cs="Times New Roman"/>
          <w:b/>
          <w:bCs/>
          <w:i/>
          <w:sz w:val="24"/>
          <w:szCs w:val="24"/>
        </w:rPr>
        <w:t xml:space="preserve"> Sumisión y residencia habitual en el Reglamento Europeo de Sucesiones: Fundamentos </w:t>
      </w:r>
      <w:proofErr w:type="spellStart"/>
      <w:r w:rsidRPr="00DC1016">
        <w:rPr>
          <w:rFonts w:ascii="Book Antiqua" w:hAnsi="Book Antiqua" w:cs="Times New Roman"/>
          <w:b/>
          <w:bCs/>
          <w:i/>
          <w:sz w:val="24"/>
          <w:szCs w:val="24"/>
        </w:rPr>
        <w:t>romanísticos</w:t>
      </w:r>
      <w:proofErr w:type="spellEnd"/>
      <w:r w:rsidRPr="00DC1016">
        <w:rPr>
          <w:rFonts w:ascii="Book Antiqua" w:hAnsi="Book Antiqua" w:cs="Times New Roman"/>
          <w:b/>
          <w:bCs/>
          <w:sz w:val="24"/>
          <w:szCs w:val="24"/>
        </w:rPr>
        <w:t xml:space="preserve">, en RIDROM: Revista Internacional de Derecho Romano, </w:t>
      </w:r>
      <w:proofErr w:type="spellStart"/>
      <w:r w:rsidRPr="00DC1016">
        <w:rPr>
          <w:rFonts w:ascii="Book Antiqua" w:hAnsi="Book Antiqua" w:cs="Times New Roman"/>
          <w:b/>
          <w:bCs/>
          <w:sz w:val="24"/>
          <w:szCs w:val="24"/>
        </w:rPr>
        <w:t>nº</w:t>
      </w:r>
      <w:proofErr w:type="spellEnd"/>
      <w:r w:rsidRPr="00DC1016">
        <w:rPr>
          <w:rFonts w:ascii="Book Antiqua" w:hAnsi="Book Antiqua" w:cs="Times New Roman"/>
          <w:b/>
          <w:bCs/>
          <w:sz w:val="24"/>
          <w:szCs w:val="24"/>
        </w:rPr>
        <w:t xml:space="preserve"> 24, 2020, págs. 150-260</w:t>
      </w:r>
      <w:r w:rsidRPr="001124B8">
        <w:rPr>
          <w:rStyle w:val="Refdenotaalpie"/>
          <w:rFonts w:ascii="Book Antiqua" w:hAnsi="Book Antiqua" w:cs="Times New Roman"/>
          <w:sz w:val="24"/>
          <w:szCs w:val="24"/>
        </w:rPr>
        <w:footnoteReference w:id="1"/>
      </w:r>
      <w:r w:rsidRPr="001124B8">
        <w:rPr>
          <w:rFonts w:ascii="Book Antiqua" w:hAnsi="Book Antiqua" w:cs="Times New Roman"/>
          <w:sz w:val="24"/>
          <w:szCs w:val="24"/>
        </w:rPr>
        <w:t>.</w:t>
      </w:r>
    </w:p>
    <w:p w14:paraId="2B22583C" w14:textId="77777777" w:rsidR="00C96516" w:rsidRDefault="00C96516" w:rsidP="004C0B45">
      <w:pPr>
        <w:spacing w:line="360" w:lineRule="auto"/>
        <w:jc w:val="both"/>
        <w:rPr>
          <w:rFonts w:ascii="Book Antiqua" w:hAnsi="Book Antiqua"/>
          <w:sz w:val="28"/>
          <w:szCs w:val="28"/>
        </w:rPr>
      </w:pPr>
    </w:p>
    <w:p w14:paraId="38C17F72" w14:textId="77777777" w:rsidR="00C96516" w:rsidRDefault="00C96516" w:rsidP="00C96516">
      <w:pPr>
        <w:spacing w:line="360" w:lineRule="auto"/>
        <w:ind w:firstLine="709"/>
        <w:jc w:val="both"/>
        <w:rPr>
          <w:rFonts w:ascii="Book Antiqua" w:hAnsi="Book Antiqua" w:cs="Times New Roman"/>
          <w:sz w:val="28"/>
          <w:szCs w:val="28"/>
        </w:rPr>
      </w:pPr>
      <w:r w:rsidRPr="00384169">
        <w:rPr>
          <w:rFonts w:ascii="Book Antiqua" w:hAnsi="Book Antiqua" w:cs="Times New Roman"/>
          <w:sz w:val="28"/>
          <w:szCs w:val="28"/>
        </w:rPr>
        <w:t xml:space="preserve">El Reglamento (UE) </w:t>
      </w:r>
      <w:proofErr w:type="spellStart"/>
      <w:r w:rsidRPr="00384169">
        <w:rPr>
          <w:rFonts w:ascii="Book Antiqua" w:hAnsi="Book Antiqua" w:cs="Times New Roman"/>
          <w:sz w:val="28"/>
          <w:szCs w:val="28"/>
        </w:rPr>
        <w:t>nº</w:t>
      </w:r>
      <w:proofErr w:type="spellEnd"/>
      <w:r w:rsidRPr="00384169">
        <w:rPr>
          <w:rFonts w:ascii="Book Antiqua" w:hAnsi="Book Antiqua" w:cs="Times New Roman"/>
          <w:sz w:val="28"/>
          <w:szCs w:val="28"/>
        </w:rPr>
        <w:t xml:space="preserve"> 650/2012 del Parlamento Europeo y del Consejo, de 4 de julio de 2012, relativo a la competencia, la ley aplicable, el reconocimiento y la ejecución de las resoluciones, a la aceptación y la ejecución de los documentos públicos en materia de sucesiones </w:t>
      </w:r>
      <w:r w:rsidRPr="00384169">
        <w:rPr>
          <w:rFonts w:ascii="Book Antiqua" w:hAnsi="Book Antiqua" w:cs="Times New Roman"/>
          <w:i/>
          <w:sz w:val="28"/>
          <w:szCs w:val="28"/>
        </w:rPr>
        <w:t>mortis causa</w:t>
      </w:r>
      <w:r w:rsidRPr="00384169">
        <w:rPr>
          <w:rFonts w:ascii="Book Antiqua" w:hAnsi="Book Antiqua" w:cs="Times New Roman"/>
          <w:sz w:val="28"/>
          <w:szCs w:val="28"/>
        </w:rPr>
        <w:t xml:space="preserve"> y a la creación de un certificado sucesorio europeo, aplicado a partir del 17 de agosto de 2015, más conocido como Reglamento Europeo de Sucesiones (en adelante, RES), establece las normas de la UE para ayudar a resolver los problemas jurídicos que se producen cuando fallece un familiar que posee bienes en otro Estado miembro de la Unión, tratando de simplificar la tramitación de las sucesiones transfronterizas, fijando para ello como criterio para la determinación de la jurisdicción y de la ley aplicable, el lugar de “residencia habitual del fallecido”. Desde su publicación despertó el interés de la doctrina y de los aplicadores del derecho, entiéndase notarios, registradores, jueces, etc., de tal modo, que los trabajos doctrinales que se han publicado en este tiempo muestran la complejidad de un instrumento normativo que busca unificar una materia no fácilmente armonizable, como es el régimen sucesorio de </w:t>
      </w:r>
      <w:r w:rsidRPr="00384169">
        <w:rPr>
          <w:rFonts w:ascii="Book Antiqua" w:hAnsi="Book Antiqua" w:cs="Times New Roman"/>
          <w:sz w:val="28"/>
          <w:szCs w:val="28"/>
        </w:rPr>
        <w:lastRenderedPageBreak/>
        <w:t>países que se rigen por sistemas jurídicos diferentes, en los que se aprecia una gran diversidad de instituciones nacionales de donde deriva un sinfín de cuestiones jurídicas. Y ello porque cada Estado miembro de la UE conserva su derecho sustantivo en esta materia.</w:t>
      </w:r>
    </w:p>
    <w:p w14:paraId="7242FD7F" w14:textId="77777777" w:rsidR="00C96516" w:rsidRPr="00384169" w:rsidRDefault="00C96516" w:rsidP="00C96516">
      <w:pPr>
        <w:spacing w:line="360" w:lineRule="auto"/>
        <w:ind w:firstLine="709"/>
        <w:jc w:val="both"/>
        <w:rPr>
          <w:rFonts w:ascii="Book Antiqua" w:hAnsi="Book Antiqua" w:cs="Times New Roman"/>
          <w:sz w:val="28"/>
          <w:szCs w:val="28"/>
        </w:rPr>
      </w:pPr>
    </w:p>
    <w:p w14:paraId="0F03DD1D" w14:textId="77777777" w:rsidR="00C96516" w:rsidRDefault="00C96516" w:rsidP="00C96516">
      <w:pPr>
        <w:spacing w:line="360" w:lineRule="auto"/>
        <w:ind w:firstLine="709"/>
        <w:jc w:val="both"/>
        <w:rPr>
          <w:rFonts w:ascii="Book Antiqua" w:hAnsi="Book Antiqua" w:cs="Times New Roman"/>
          <w:sz w:val="28"/>
          <w:szCs w:val="28"/>
        </w:rPr>
      </w:pPr>
      <w:r w:rsidRPr="00384169">
        <w:rPr>
          <w:rFonts w:ascii="Book Antiqua" w:hAnsi="Book Antiqua" w:cs="Times New Roman"/>
          <w:sz w:val="28"/>
          <w:szCs w:val="28"/>
        </w:rPr>
        <w:t xml:space="preserve">Pues bien, en el trabajo que comento, obra de las Dras. </w:t>
      </w:r>
      <w:r w:rsidRPr="00384169">
        <w:rPr>
          <w:rFonts w:ascii="Book Antiqua" w:hAnsi="Book Antiqua" w:cs="Times New Roman"/>
          <w:smallCaps/>
          <w:sz w:val="28"/>
          <w:szCs w:val="28"/>
        </w:rPr>
        <w:t xml:space="preserve">López-Rendo Rodríguez y </w:t>
      </w:r>
      <w:proofErr w:type="spellStart"/>
      <w:r w:rsidRPr="00384169">
        <w:rPr>
          <w:rFonts w:ascii="Book Antiqua" w:hAnsi="Book Antiqua" w:cs="Times New Roman"/>
          <w:smallCaps/>
          <w:sz w:val="28"/>
          <w:szCs w:val="28"/>
        </w:rPr>
        <w:t>Azaustre</w:t>
      </w:r>
      <w:proofErr w:type="spellEnd"/>
      <w:r w:rsidRPr="00384169">
        <w:rPr>
          <w:rFonts w:ascii="Book Antiqua" w:hAnsi="Book Antiqua" w:cs="Times New Roman"/>
          <w:smallCaps/>
          <w:sz w:val="28"/>
          <w:szCs w:val="28"/>
        </w:rPr>
        <w:t xml:space="preserve"> Fernández</w:t>
      </w:r>
      <w:r w:rsidRPr="00384169">
        <w:rPr>
          <w:rFonts w:ascii="Book Antiqua" w:hAnsi="Book Antiqua" w:cs="Times New Roman"/>
          <w:sz w:val="28"/>
          <w:szCs w:val="28"/>
        </w:rPr>
        <w:t xml:space="preserve">, se propone en esencia el estudio de dos de los elementos de competencia judicial internacional que han de decidir en aquellos litigios derivados de una sucesión </w:t>
      </w:r>
      <w:r w:rsidRPr="00384169">
        <w:rPr>
          <w:rFonts w:ascii="Book Antiqua" w:hAnsi="Book Antiqua" w:cs="Times New Roman"/>
          <w:i/>
          <w:sz w:val="28"/>
          <w:szCs w:val="28"/>
        </w:rPr>
        <w:t>mortis causa</w:t>
      </w:r>
      <w:r w:rsidRPr="00384169">
        <w:rPr>
          <w:rFonts w:ascii="Book Antiqua" w:hAnsi="Book Antiqua" w:cs="Times New Roman"/>
          <w:sz w:val="28"/>
          <w:szCs w:val="28"/>
        </w:rPr>
        <w:t xml:space="preserve"> para determinar la autoridad judicial, es decir, los tribunales competentes. Entre los elementos que el RES toma como reglas de competencia judicial internacional, objeto de estudio, están: la sumisión y la “residencia habitual”. La investigación se organiza en dos apartados perfectamente diferenciados, uno dedicado a la sumisión, tanto expresa como tácita, y otro dedicado a la “residencia habitual”, para terminar con un sugerente apartado de conclusiones. </w:t>
      </w:r>
    </w:p>
    <w:p w14:paraId="22464B46" w14:textId="77777777" w:rsidR="00C96516" w:rsidRPr="00384169" w:rsidRDefault="00C96516" w:rsidP="00C96516">
      <w:pPr>
        <w:spacing w:line="360" w:lineRule="auto"/>
        <w:ind w:firstLine="709"/>
        <w:jc w:val="both"/>
        <w:rPr>
          <w:rFonts w:ascii="Book Antiqua" w:hAnsi="Book Antiqua" w:cs="Times New Roman"/>
          <w:sz w:val="28"/>
          <w:szCs w:val="28"/>
        </w:rPr>
      </w:pPr>
    </w:p>
    <w:p w14:paraId="7DC27692" w14:textId="77777777" w:rsidR="00C96516" w:rsidRPr="00384169" w:rsidRDefault="00C96516" w:rsidP="00C96516">
      <w:pPr>
        <w:spacing w:line="360" w:lineRule="auto"/>
        <w:ind w:firstLine="709"/>
        <w:jc w:val="both"/>
        <w:rPr>
          <w:rFonts w:ascii="Book Antiqua" w:hAnsi="Book Antiqua" w:cs="Times New Roman"/>
          <w:sz w:val="28"/>
          <w:szCs w:val="28"/>
        </w:rPr>
      </w:pPr>
      <w:r w:rsidRPr="00384169">
        <w:rPr>
          <w:rFonts w:ascii="Book Antiqua" w:hAnsi="Book Antiqua" w:cs="Times New Roman"/>
          <w:sz w:val="28"/>
          <w:szCs w:val="28"/>
        </w:rPr>
        <w:t xml:space="preserve">La sumisión expresa se produce cuando las partes se ponen de acuerdo extrajudicialmente para someter el litigio a los tribunales de un determinado Estado de la UE. Y la sumisión tácita cuando las partes realizan ciertos actos procesales que permiten presumir su voluntad de someterse también a los tribunales de un Estado miembro de la UE. Por lo que se refiere al elemento “residencia habitual del causante”, sin duda, se trata de un concepto jurídico indeterminado, pues el RES no lo define, aunque facilita unas pautas en los considerandos 23-25 para que las autoridades lo determinen. Y es precisamente en estas pautas donde las mencionadas Autoras </w:t>
      </w:r>
      <w:r w:rsidRPr="00384169">
        <w:rPr>
          <w:rFonts w:ascii="Book Antiqua" w:hAnsi="Book Antiqua" w:cs="Times New Roman"/>
          <w:sz w:val="28"/>
          <w:szCs w:val="28"/>
        </w:rPr>
        <w:lastRenderedPageBreak/>
        <w:t>detectan fundamentos romanistas, que como bien indican “pueden utilizarse para interpretar y determinar la residencia habitual de una persona”.</w:t>
      </w:r>
    </w:p>
    <w:p w14:paraId="284BBD72" w14:textId="77777777" w:rsidR="00C96516" w:rsidRDefault="00C96516" w:rsidP="00C96516">
      <w:pPr>
        <w:spacing w:line="360" w:lineRule="auto"/>
        <w:ind w:firstLine="709"/>
        <w:jc w:val="both"/>
        <w:rPr>
          <w:rFonts w:ascii="Book Antiqua" w:hAnsi="Book Antiqua" w:cs="Times New Roman"/>
          <w:i/>
          <w:sz w:val="28"/>
          <w:szCs w:val="28"/>
        </w:rPr>
      </w:pPr>
      <w:r w:rsidRPr="00384169">
        <w:rPr>
          <w:rFonts w:ascii="Book Antiqua" w:hAnsi="Book Antiqua" w:cs="Times New Roman"/>
          <w:sz w:val="28"/>
          <w:szCs w:val="28"/>
        </w:rPr>
        <w:t>A lo largo de la lectura del trabajo, de límpida y brillante redacción, se aprecia el magistral uso de la metodología histórico-dogmática (</w:t>
      </w:r>
      <w:proofErr w:type="spellStart"/>
      <w:r w:rsidRPr="00384169">
        <w:rPr>
          <w:rFonts w:ascii="Book Antiqua" w:hAnsi="Book Antiqua" w:cs="Times New Roman"/>
          <w:i/>
          <w:sz w:val="28"/>
          <w:szCs w:val="28"/>
        </w:rPr>
        <w:t>Dogmengeschichte</w:t>
      </w:r>
      <w:proofErr w:type="spellEnd"/>
      <w:r w:rsidRPr="00384169">
        <w:rPr>
          <w:rFonts w:ascii="Book Antiqua" w:hAnsi="Book Antiqua" w:cs="Times New Roman"/>
          <w:sz w:val="28"/>
          <w:szCs w:val="28"/>
        </w:rPr>
        <w:t xml:space="preserve">), de la que hacen gala las Autoras, al retrotraer la investigación a los fundamentos </w:t>
      </w:r>
      <w:proofErr w:type="spellStart"/>
      <w:r w:rsidRPr="00384169">
        <w:rPr>
          <w:rFonts w:ascii="Book Antiqua" w:hAnsi="Book Antiqua" w:cs="Times New Roman"/>
          <w:sz w:val="28"/>
          <w:szCs w:val="28"/>
        </w:rPr>
        <w:t>romanísticos</w:t>
      </w:r>
      <w:proofErr w:type="spellEnd"/>
      <w:r w:rsidRPr="00384169">
        <w:rPr>
          <w:rFonts w:ascii="Book Antiqua" w:hAnsi="Book Antiqua" w:cs="Times New Roman"/>
          <w:sz w:val="28"/>
          <w:szCs w:val="28"/>
        </w:rPr>
        <w:t xml:space="preserve"> de los nexos de conexión de competencia judicial internacional establecidos en el RES: la sumisión y la “residencia habitual del causante”, prescindiendo del estudio de otros foros que también se recogen en el citado Reglamento. Como consecuencia del estudio, se evidencia, por un lado, que los requisitos que exige el RES para la sumisión </w:t>
      </w:r>
      <w:proofErr w:type="gramStart"/>
      <w:r w:rsidRPr="00384169">
        <w:rPr>
          <w:rFonts w:ascii="Book Antiqua" w:hAnsi="Book Antiqua" w:cs="Times New Roman"/>
          <w:sz w:val="28"/>
          <w:szCs w:val="28"/>
        </w:rPr>
        <w:t>expresa</w:t>
      </w:r>
      <w:proofErr w:type="gramEnd"/>
      <w:r w:rsidRPr="00384169">
        <w:rPr>
          <w:rFonts w:ascii="Book Antiqua" w:hAnsi="Book Antiqua" w:cs="Times New Roman"/>
          <w:sz w:val="28"/>
          <w:szCs w:val="28"/>
        </w:rPr>
        <w:t xml:space="preserve">, cuyo efecto negativo es la derogación de la competencia y como efecto positivo la prórroga de competencia del tribunal elegido, también se conoció en el Derecho romano. Y lo mismo en lo relativo a la sumisión tácita, a partir de las conductas de las partes implicadas, pues fue admitida en el RES, aunque sin especificar las conductas concretas que suponen una “comparecencia sin impugnación de la competencia del tribunal”, lo cual sucedió exactamente igual en el ordenamiento jurídico romano, circunstancia que obligó a resolver si determinadas conductas constituían o no una sumisión tácita. A ello se dedica un esfuerzo importante en la investigación, para ofrecer soluciones propias del Derecho romano que puedan servir de criterio interpretativo que logre ser aplicable en aquellos supuestos que pueden plantearse en la actualidad. Por otro lado, para entender qué haya de entenderse por “residencia habitual del causante”, las Dras. </w:t>
      </w:r>
      <w:r w:rsidRPr="00384169">
        <w:rPr>
          <w:rFonts w:ascii="Book Antiqua" w:hAnsi="Book Antiqua" w:cs="Times New Roman"/>
          <w:smallCaps/>
          <w:sz w:val="28"/>
          <w:szCs w:val="28"/>
        </w:rPr>
        <w:t xml:space="preserve">López-Rendo y </w:t>
      </w:r>
      <w:proofErr w:type="spellStart"/>
      <w:r w:rsidRPr="00384169">
        <w:rPr>
          <w:rFonts w:ascii="Book Antiqua" w:hAnsi="Book Antiqua" w:cs="Times New Roman"/>
          <w:smallCaps/>
          <w:sz w:val="28"/>
          <w:szCs w:val="28"/>
        </w:rPr>
        <w:t>Azaustre</w:t>
      </w:r>
      <w:proofErr w:type="spellEnd"/>
      <w:r w:rsidRPr="00384169">
        <w:rPr>
          <w:rFonts w:ascii="Book Antiqua" w:hAnsi="Book Antiqua" w:cs="Times New Roman"/>
          <w:smallCaps/>
          <w:sz w:val="28"/>
          <w:szCs w:val="28"/>
        </w:rPr>
        <w:t xml:space="preserve"> Fernández</w:t>
      </w:r>
      <w:r w:rsidRPr="00384169">
        <w:rPr>
          <w:rFonts w:ascii="Book Antiqua" w:hAnsi="Book Antiqua" w:cs="Times New Roman"/>
          <w:sz w:val="28"/>
          <w:szCs w:val="28"/>
        </w:rPr>
        <w:t xml:space="preserve"> se centran en buscar una </w:t>
      </w:r>
      <w:r w:rsidRPr="00384169">
        <w:rPr>
          <w:rFonts w:ascii="Book Antiqua" w:hAnsi="Book Antiqua" w:cs="Times New Roman"/>
          <w:sz w:val="28"/>
          <w:szCs w:val="28"/>
        </w:rPr>
        <w:lastRenderedPageBreak/>
        <w:t xml:space="preserve">conexión con la noción de </w:t>
      </w:r>
      <w:proofErr w:type="spellStart"/>
      <w:r w:rsidRPr="00384169">
        <w:rPr>
          <w:rFonts w:ascii="Book Antiqua" w:hAnsi="Book Antiqua" w:cs="Times New Roman"/>
          <w:i/>
          <w:sz w:val="28"/>
          <w:szCs w:val="28"/>
        </w:rPr>
        <w:t>domicilium</w:t>
      </w:r>
      <w:proofErr w:type="spellEnd"/>
      <w:r w:rsidRPr="00384169">
        <w:rPr>
          <w:rFonts w:ascii="Book Antiqua" w:hAnsi="Book Antiqua" w:cs="Times New Roman"/>
          <w:sz w:val="28"/>
          <w:szCs w:val="28"/>
        </w:rPr>
        <w:t xml:space="preserve"> romano, sin duda, con gran fortuna, pues no solo detectan la existencia de varias coincidencias a propósito del carácter fáctico de ambos criterios, sino también en aquello relativo a la prueba. Pues, como bien puso de manifiesto Paulo, D.50.1.20 </w:t>
      </w:r>
      <w:proofErr w:type="spellStart"/>
      <w:r w:rsidRPr="00384169">
        <w:rPr>
          <w:rFonts w:ascii="Book Antiqua" w:hAnsi="Book Antiqua" w:cs="Times New Roman"/>
          <w:sz w:val="28"/>
          <w:szCs w:val="28"/>
        </w:rPr>
        <w:t>pr</w:t>
      </w:r>
      <w:proofErr w:type="spellEnd"/>
      <w:r w:rsidRPr="00384169">
        <w:rPr>
          <w:rFonts w:ascii="Book Antiqua" w:hAnsi="Book Antiqua" w:cs="Times New Roman"/>
          <w:sz w:val="28"/>
          <w:szCs w:val="28"/>
        </w:rPr>
        <w:t xml:space="preserve"> (</w:t>
      </w:r>
      <w:r w:rsidRPr="00384169">
        <w:rPr>
          <w:rFonts w:ascii="Book Antiqua" w:hAnsi="Book Antiqua" w:cs="Times New Roman"/>
          <w:i/>
          <w:sz w:val="28"/>
          <w:szCs w:val="28"/>
        </w:rPr>
        <w:t xml:space="preserve">Paul. 24 </w:t>
      </w:r>
      <w:proofErr w:type="spellStart"/>
      <w:r w:rsidRPr="00384169">
        <w:rPr>
          <w:rFonts w:ascii="Book Antiqua" w:hAnsi="Book Antiqua" w:cs="Times New Roman"/>
          <w:i/>
          <w:sz w:val="28"/>
          <w:szCs w:val="28"/>
        </w:rPr>
        <w:t>quaest</w:t>
      </w:r>
      <w:proofErr w:type="spellEnd"/>
      <w:r w:rsidRPr="00384169">
        <w:rPr>
          <w:rFonts w:ascii="Book Antiqua" w:hAnsi="Book Antiqua" w:cs="Times New Roman"/>
          <w:sz w:val="28"/>
          <w:szCs w:val="28"/>
        </w:rPr>
        <w:t>.</w:t>
      </w:r>
      <w:proofErr w:type="gramStart"/>
      <w:r w:rsidRPr="00384169">
        <w:rPr>
          <w:rFonts w:ascii="Book Antiqua" w:hAnsi="Book Antiqua" w:cs="Times New Roman"/>
          <w:sz w:val="28"/>
          <w:szCs w:val="28"/>
        </w:rPr>
        <w:t>).-</w:t>
      </w:r>
      <w:proofErr w:type="gramEnd"/>
      <w:r w:rsidRPr="00384169">
        <w:rPr>
          <w:rFonts w:ascii="Book Antiqua" w:hAnsi="Book Antiqua" w:cs="Times New Roman"/>
          <w:sz w:val="28"/>
          <w:szCs w:val="28"/>
        </w:rPr>
        <w:t xml:space="preserve"> </w:t>
      </w:r>
      <w:proofErr w:type="spellStart"/>
      <w:r w:rsidRPr="00384169">
        <w:rPr>
          <w:rFonts w:ascii="Book Antiqua" w:hAnsi="Book Antiqua" w:cs="Times New Roman"/>
          <w:i/>
          <w:sz w:val="28"/>
          <w:szCs w:val="28"/>
        </w:rPr>
        <w:t>Domicilium</w:t>
      </w:r>
      <w:proofErr w:type="spellEnd"/>
      <w:r w:rsidRPr="00384169">
        <w:rPr>
          <w:rFonts w:ascii="Book Antiqua" w:hAnsi="Book Antiqua" w:cs="Times New Roman"/>
          <w:i/>
          <w:sz w:val="28"/>
          <w:szCs w:val="28"/>
        </w:rPr>
        <w:t xml:space="preserve"> re et facto </w:t>
      </w:r>
      <w:proofErr w:type="spellStart"/>
      <w:r w:rsidRPr="00384169">
        <w:rPr>
          <w:rFonts w:ascii="Book Antiqua" w:hAnsi="Book Antiqua" w:cs="Times New Roman"/>
          <w:i/>
          <w:sz w:val="28"/>
          <w:szCs w:val="28"/>
        </w:rPr>
        <w:t>transfertur</w:t>
      </w:r>
      <w:proofErr w:type="spellEnd"/>
      <w:r w:rsidRPr="00384169">
        <w:rPr>
          <w:rFonts w:ascii="Book Antiqua" w:hAnsi="Book Antiqua" w:cs="Times New Roman"/>
          <w:i/>
          <w:sz w:val="28"/>
          <w:szCs w:val="28"/>
        </w:rPr>
        <w:t xml:space="preserve">, non nuda </w:t>
      </w:r>
      <w:proofErr w:type="spellStart"/>
      <w:r w:rsidRPr="00384169">
        <w:rPr>
          <w:rFonts w:ascii="Book Antiqua" w:hAnsi="Book Antiqua" w:cs="Times New Roman"/>
          <w:i/>
          <w:sz w:val="28"/>
          <w:szCs w:val="28"/>
        </w:rPr>
        <w:t>contestationem</w:t>
      </w:r>
      <w:proofErr w:type="spellEnd"/>
      <w:r w:rsidRPr="00384169">
        <w:rPr>
          <w:rFonts w:ascii="Book Antiqua" w:hAnsi="Book Antiqua" w:cs="Times New Roman"/>
          <w:i/>
          <w:sz w:val="28"/>
          <w:szCs w:val="28"/>
        </w:rPr>
        <w:t xml:space="preserve">: </w:t>
      </w:r>
      <w:proofErr w:type="spellStart"/>
      <w:r w:rsidRPr="00384169">
        <w:rPr>
          <w:rFonts w:ascii="Book Antiqua" w:hAnsi="Book Antiqua" w:cs="Times New Roman"/>
          <w:i/>
          <w:sz w:val="28"/>
          <w:szCs w:val="28"/>
        </w:rPr>
        <w:t>sicut</w:t>
      </w:r>
      <w:proofErr w:type="spellEnd"/>
      <w:r w:rsidRPr="00384169">
        <w:rPr>
          <w:rFonts w:ascii="Book Antiqua" w:hAnsi="Book Antiqua" w:cs="Times New Roman"/>
          <w:i/>
          <w:sz w:val="28"/>
          <w:szCs w:val="28"/>
        </w:rPr>
        <w:t xml:space="preserve"> in </w:t>
      </w:r>
      <w:proofErr w:type="spellStart"/>
      <w:r w:rsidRPr="00384169">
        <w:rPr>
          <w:rFonts w:ascii="Book Antiqua" w:hAnsi="Book Antiqua" w:cs="Times New Roman"/>
          <w:i/>
          <w:sz w:val="28"/>
          <w:szCs w:val="28"/>
        </w:rPr>
        <w:t>his</w:t>
      </w:r>
      <w:proofErr w:type="spellEnd"/>
      <w:r w:rsidRPr="00384169">
        <w:rPr>
          <w:rFonts w:ascii="Book Antiqua" w:hAnsi="Book Antiqua" w:cs="Times New Roman"/>
          <w:i/>
          <w:sz w:val="28"/>
          <w:szCs w:val="28"/>
        </w:rPr>
        <w:t xml:space="preserve"> </w:t>
      </w:r>
      <w:proofErr w:type="spellStart"/>
      <w:r w:rsidRPr="00384169">
        <w:rPr>
          <w:rFonts w:ascii="Book Antiqua" w:hAnsi="Book Antiqua" w:cs="Times New Roman"/>
          <w:i/>
          <w:sz w:val="28"/>
          <w:szCs w:val="28"/>
        </w:rPr>
        <w:t>exigitur</w:t>
      </w:r>
      <w:proofErr w:type="spellEnd"/>
      <w:r w:rsidRPr="00384169">
        <w:rPr>
          <w:rFonts w:ascii="Book Antiqua" w:hAnsi="Book Antiqua" w:cs="Times New Roman"/>
          <w:i/>
          <w:sz w:val="28"/>
          <w:szCs w:val="28"/>
        </w:rPr>
        <w:t xml:space="preserve">, qui </w:t>
      </w:r>
      <w:proofErr w:type="spellStart"/>
      <w:r w:rsidRPr="00384169">
        <w:rPr>
          <w:rFonts w:ascii="Book Antiqua" w:hAnsi="Book Antiqua" w:cs="Times New Roman"/>
          <w:i/>
          <w:sz w:val="28"/>
          <w:szCs w:val="28"/>
        </w:rPr>
        <w:t>negant</w:t>
      </w:r>
      <w:proofErr w:type="spellEnd"/>
      <w:r w:rsidRPr="00384169">
        <w:rPr>
          <w:rFonts w:ascii="Book Antiqua" w:hAnsi="Book Antiqua" w:cs="Times New Roman"/>
          <w:i/>
          <w:sz w:val="28"/>
          <w:szCs w:val="28"/>
        </w:rPr>
        <w:t xml:space="preserve"> se </w:t>
      </w:r>
      <w:proofErr w:type="spellStart"/>
      <w:r w:rsidRPr="00384169">
        <w:rPr>
          <w:rFonts w:ascii="Book Antiqua" w:hAnsi="Book Antiqua" w:cs="Times New Roman"/>
          <w:i/>
          <w:sz w:val="28"/>
          <w:szCs w:val="28"/>
        </w:rPr>
        <w:t>posse</w:t>
      </w:r>
      <w:proofErr w:type="spellEnd"/>
      <w:r w:rsidRPr="00384169">
        <w:rPr>
          <w:rFonts w:ascii="Book Antiqua" w:hAnsi="Book Antiqua" w:cs="Times New Roman"/>
          <w:i/>
          <w:sz w:val="28"/>
          <w:szCs w:val="28"/>
        </w:rPr>
        <w:t xml:space="preserve"> ad </w:t>
      </w:r>
      <w:proofErr w:type="spellStart"/>
      <w:r w:rsidRPr="00384169">
        <w:rPr>
          <w:rFonts w:ascii="Book Antiqua" w:hAnsi="Book Antiqua" w:cs="Times New Roman"/>
          <w:i/>
          <w:sz w:val="28"/>
          <w:szCs w:val="28"/>
        </w:rPr>
        <w:t>munera</w:t>
      </w:r>
      <w:proofErr w:type="spellEnd"/>
      <w:r w:rsidRPr="00384169">
        <w:rPr>
          <w:rFonts w:ascii="Book Antiqua" w:hAnsi="Book Antiqua" w:cs="Times New Roman"/>
          <w:i/>
          <w:sz w:val="28"/>
          <w:szCs w:val="28"/>
        </w:rPr>
        <w:t xml:space="preserve"> ut </w:t>
      </w:r>
      <w:proofErr w:type="spellStart"/>
      <w:r w:rsidRPr="00384169">
        <w:rPr>
          <w:rFonts w:ascii="Book Antiqua" w:hAnsi="Book Antiqua" w:cs="Times New Roman"/>
          <w:i/>
          <w:sz w:val="28"/>
          <w:szCs w:val="28"/>
        </w:rPr>
        <w:t>incolas</w:t>
      </w:r>
      <w:proofErr w:type="spellEnd"/>
      <w:r w:rsidRPr="00384169">
        <w:rPr>
          <w:rFonts w:ascii="Book Antiqua" w:hAnsi="Book Antiqua" w:cs="Times New Roman"/>
          <w:i/>
          <w:sz w:val="28"/>
          <w:szCs w:val="28"/>
        </w:rPr>
        <w:t xml:space="preserve"> </w:t>
      </w:r>
      <w:proofErr w:type="spellStart"/>
      <w:r w:rsidRPr="00384169">
        <w:rPr>
          <w:rFonts w:ascii="Book Antiqua" w:hAnsi="Book Antiqua" w:cs="Times New Roman"/>
          <w:i/>
          <w:sz w:val="28"/>
          <w:szCs w:val="28"/>
        </w:rPr>
        <w:t>vocari</w:t>
      </w:r>
      <w:proofErr w:type="spellEnd"/>
      <w:r w:rsidRPr="00384169">
        <w:rPr>
          <w:rFonts w:ascii="Book Antiqua" w:hAnsi="Book Antiqua" w:cs="Times New Roman"/>
          <w:i/>
          <w:sz w:val="28"/>
          <w:szCs w:val="28"/>
        </w:rPr>
        <w:t>.</w:t>
      </w:r>
    </w:p>
    <w:p w14:paraId="7CAF825F" w14:textId="77777777" w:rsidR="00C96516" w:rsidRPr="00384169" w:rsidRDefault="00C96516" w:rsidP="00C96516">
      <w:pPr>
        <w:spacing w:line="360" w:lineRule="auto"/>
        <w:ind w:firstLine="709"/>
        <w:jc w:val="both"/>
        <w:rPr>
          <w:rFonts w:ascii="Book Antiqua" w:hAnsi="Book Antiqua" w:cs="Times New Roman"/>
          <w:i/>
          <w:sz w:val="28"/>
          <w:szCs w:val="28"/>
        </w:rPr>
      </w:pPr>
    </w:p>
    <w:p w14:paraId="74296D0C" w14:textId="77777777" w:rsidR="00C96516" w:rsidRDefault="00C96516" w:rsidP="00C96516">
      <w:pPr>
        <w:spacing w:line="360" w:lineRule="auto"/>
        <w:ind w:firstLine="709"/>
        <w:jc w:val="both"/>
        <w:rPr>
          <w:rFonts w:ascii="Book Antiqua" w:hAnsi="Book Antiqua" w:cs="Times New Roman"/>
          <w:sz w:val="28"/>
          <w:szCs w:val="28"/>
        </w:rPr>
      </w:pPr>
      <w:r w:rsidRPr="00384169">
        <w:rPr>
          <w:rFonts w:ascii="Book Antiqua" w:hAnsi="Book Antiqua" w:cs="Times New Roman"/>
          <w:sz w:val="28"/>
          <w:szCs w:val="28"/>
        </w:rPr>
        <w:t xml:space="preserve">En definitiva, con este trabajo se pone de manifiesto que el Derecho romano es un buen instrumento para la crítica del derecho positivo, entendiendo crítica en el sentido de interpretación, de ayuda a la comprensión del derecho vigente.  Como dice </w:t>
      </w:r>
      <w:r w:rsidRPr="00384169">
        <w:rPr>
          <w:rFonts w:ascii="Book Antiqua" w:hAnsi="Book Antiqua" w:cs="Times New Roman"/>
          <w:smallCaps/>
          <w:sz w:val="28"/>
          <w:szCs w:val="28"/>
        </w:rPr>
        <w:t>Torrent</w:t>
      </w:r>
      <w:r w:rsidRPr="00384169">
        <w:rPr>
          <w:rStyle w:val="Refdenotaalpie"/>
          <w:rFonts w:ascii="Book Antiqua" w:hAnsi="Book Antiqua" w:cs="Times New Roman"/>
          <w:sz w:val="28"/>
          <w:szCs w:val="28"/>
        </w:rPr>
        <w:footnoteReference w:id="2"/>
      </w:r>
      <w:r w:rsidRPr="00384169">
        <w:rPr>
          <w:rFonts w:ascii="Book Antiqua" w:hAnsi="Book Antiqua" w:cs="Times New Roman"/>
          <w:sz w:val="28"/>
          <w:szCs w:val="28"/>
        </w:rPr>
        <w:t xml:space="preserve">, no se puede prescindir para valorar la norma positiva actual de contraponer el Derecho romano al derecho positivo vigente, en el sentido de ser el primero instrumento para la crítica del segundo, sobre todo, porque la influencia romana es la más profunda sobre los derechos continentales europeos. Es decir, que siendo el Derecho romano un sistema jurídico de gran perfección técnica, sí sirve para, con los instrumentos técnicos romanos, enfocar los problemas actuales y ofrecer soluciones desde estas angulaciones técnicas. Y especialmente en el campo de las sucesiones se observa cómo una desconexión del derecho civil del Derecho </w:t>
      </w:r>
      <w:proofErr w:type="gramStart"/>
      <w:r w:rsidRPr="00384169">
        <w:rPr>
          <w:rFonts w:ascii="Book Antiqua" w:hAnsi="Book Antiqua" w:cs="Times New Roman"/>
          <w:sz w:val="28"/>
          <w:szCs w:val="28"/>
        </w:rPr>
        <w:t>romano,</w:t>
      </w:r>
      <w:proofErr w:type="gramEnd"/>
      <w:r w:rsidRPr="00384169">
        <w:rPr>
          <w:rFonts w:ascii="Book Antiqua" w:hAnsi="Book Antiqua" w:cs="Times New Roman"/>
          <w:sz w:val="28"/>
          <w:szCs w:val="28"/>
        </w:rPr>
        <w:t xml:space="preserve"> puede llevar a una interpretación errónea de normas actuales por olvido de su raíz romanística, y, en último término, a equivocadas innovaciones normativas de la regulación correspondiente.</w:t>
      </w:r>
    </w:p>
    <w:p w14:paraId="74494CFB" w14:textId="77777777" w:rsidR="00C96516" w:rsidRPr="00384169" w:rsidRDefault="00C96516" w:rsidP="00C96516">
      <w:pPr>
        <w:spacing w:line="360" w:lineRule="auto"/>
        <w:ind w:firstLine="709"/>
        <w:jc w:val="both"/>
        <w:rPr>
          <w:rFonts w:ascii="Book Antiqua" w:hAnsi="Book Antiqua" w:cs="Times New Roman"/>
          <w:sz w:val="28"/>
          <w:szCs w:val="28"/>
        </w:rPr>
      </w:pPr>
    </w:p>
    <w:p w14:paraId="3B1B417B" w14:textId="77777777" w:rsidR="00C96516" w:rsidRDefault="00C96516" w:rsidP="00C96516">
      <w:pPr>
        <w:spacing w:line="360" w:lineRule="auto"/>
        <w:ind w:firstLine="709"/>
        <w:jc w:val="both"/>
        <w:rPr>
          <w:rFonts w:ascii="Times New Roman" w:hAnsi="Times New Roman" w:cs="Times New Roman"/>
          <w:sz w:val="24"/>
          <w:szCs w:val="24"/>
          <w:lang w:val="es-ES_tradnl"/>
        </w:rPr>
      </w:pPr>
      <w:r w:rsidRPr="00384169">
        <w:rPr>
          <w:rFonts w:ascii="Book Antiqua" w:hAnsi="Book Antiqua" w:cs="Times New Roman"/>
          <w:sz w:val="28"/>
          <w:szCs w:val="28"/>
        </w:rPr>
        <w:t>Por consiguiente, a través del estudio comentado, sus Autoras están haciendo valer, con rigor intelectual y metodológico, lo útil que a veces puede resultar lo aparentemente inútil</w:t>
      </w:r>
      <w:r w:rsidRPr="00384169">
        <w:rPr>
          <w:rStyle w:val="Refdenotaalpie"/>
          <w:rFonts w:ascii="Book Antiqua" w:hAnsi="Book Antiqua" w:cs="Times New Roman"/>
          <w:sz w:val="28"/>
          <w:szCs w:val="28"/>
        </w:rPr>
        <w:footnoteReference w:id="3"/>
      </w:r>
      <w:r w:rsidRPr="00384169">
        <w:rPr>
          <w:rFonts w:ascii="Book Antiqua" w:hAnsi="Book Antiqua" w:cs="Times New Roman"/>
          <w:sz w:val="28"/>
          <w:szCs w:val="28"/>
        </w:rPr>
        <w:t xml:space="preserve">, en este caso el conocimiento del Derecho romano. Con ello han dejado patente la actualidad </w:t>
      </w:r>
      <w:r>
        <w:rPr>
          <w:rFonts w:ascii="Book Antiqua" w:hAnsi="Book Antiqua" w:cs="Times New Roman"/>
          <w:sz w:val="28"/>
          <w:szCs w:val="28"/>
        </w:rPr>
        <w:t>d</w:t>
      </w:r>
      <w:r w:rsidRPr="00384169">
        <w:rPr>
          <w:rFonts w:ascii="Book Antiqua" w:hAnsi="Book Antiqua" w:cs="Times New Roman"/>
          <w:sz w:val="28"/>
          <w:szCs w:val="28"/>
        </w:rPr>
        <w:t>el viejo aforismo “</w:t>
      </w:r>
      <w:r w:rsidRPr="00384169">
        <w:rPr>
          <w:rFonts w:ascii="Book Antiqua" w:hAnsi="Book Antiqua" w:cs="Times New Roman"/>
          <w:i/>
          <w:sz w:val="28"/>
          <w:szCs w:val="28"/>
        </w:rPr>
        <w:t xml:space="preserve">contra </w:t>
      </w:r>
      <w:proofErr w:type="spellStart"/>
      <w:r w:rsidRPr="00384169">
        <w:rPr>
          <w:rFonts w:ascii="Book Antiqua" w:hAnsi="Book Antiqua" w:cs="Times New Roman"/>
          <w:i/>
          <w:sz w:val="28"/>
          <w:szCs w:val="28"/>
        </w:rPr>
        <w:t>facta</w:t>
      </w:r>
      <w:proofErr w:type="spellEnd"/>
      <w:r w:rsidRPr="00384169">
        <w:rPr>
          <w:rFonts w:ascii="Book Antiqua" w:hAnsi="Book Antiqua" w:cs="Times New Roman"/>
          <w:i/>
          <w:sz w:val="28"/>
          <w:szCs w:val="28"/>
        </w:rPr>
        <w:t xml:space="preserve"> non </w:t>
      </w:r>
      <w:proofErr w:type="spellStart"/>
      <w:r w:rsidRPr="00384169">
        <w:rPr>
          <w:rFonts w:ascii="Book Antiqua" w:hAnsi="Book Antiqua" w:cs="Times New Roman"/>
          <w:i/>
          <w:sz w:val="28"/>
          <w:szCs w:val="28"/>
        </w:rPr>
        <w:t>valent</w:t>
      </w:r>
      <w:proofErr w:type="spellEnd"/>
      <w:r w:rsidRPr="00384169">
        <w:rPr>
          <w:rFonts w:ascii="Book Antiqua" w:hAnsi="Book Antiqua" w:cs="Times New Roman"/>
          <w:i/>
          <w:sz w:val="28"/>
          <w:szCs w:val="28"/>
        </w:rPr>
        <w:t xml:space="preserve"> argumenta</w:t>
      </w:r>
      <w:r w:rsidRPr="00384169">
        <w:rPr>
          <w:rFonts w:ascii="Book Antiqua" w:hAnsi="Book Antiqua" w:cs="Times New Roman"/>
          <w:sz w:val="28"/>
          <w:szCs w:val="28"/>
        </w:rPr>
        <w:t>”. Finalmente, quiero anotar un detalle nada menor. Cuando el 17 de agosto de 2015 entró en vigor el RES, la Unión Europea contaba entre sus Estados miembros con el Reino Unido, lo que de inmediato hizo aflorar las diferencias entre dos sistemas jurídicos (</w:t>
      </w:r>
      <w:proofErr w:type="spellStart"/>
      <w:r w:rsidRPr="00384169">
        <w:rPr>
          <w:rFonts w:ascii="Book Antiqua" w:hAnsi="Book Antiqua" w:cs="Times New Roman"/>
          <w:i/>
          <w:sz w:val="28"/>
          <w:szCs w:val="28"/>
        </w:rPr>
        <w:t>Common</w:t>
      </w:r>
      <w:proofErr w:type="spellEnd"/>
      <w:r w:rsidRPr="00384169">
        <w:rPr>
          <w:rFonts w:ascii="Book Antiqua" w:hAnsi="Book Antiqua" w:cs="Times New Roman"/>
          <w:i/>
          <w:sz w:val="28"/>
          <w:szCs w:val="28"/>
        </w:rPr>
        <w:t xml:space="preserve"> </w:t>
      </w:r>
      <w:proofErr w:type="spellStart"/>
      <w:r w:rsidRPr="00384169">
        <w:rPr>
          <w:rFonts w:ascii="Book Antiqua" w:hAnsi="Book Antiqua" w:cs="Times New Roman"/>
          <w:i/>
          <w:sz w:val="28"/>
          <w:szCs w:val="28"/>
        </w:rPr>
        <w:t>Law</w:t>
      </w:r>
      <w:proofErr w:type="spellEnd"/>
      <w:r w:rsidRPr="00384169">
        <w:rPr>
          <w:rFonts w:ascii="Book Antiqua" w:hAnsi="Book Antiqua" w:cs="Times New Roman"/>
          <w:sz w:val="28"/>
          <w:szCs w:val="28"/>
        </w:rPr>
        <w:t xml:space="preserve"> y </w:t>
      </w:r>
      <w:r w:rsidRPr="00384169">
        <w:rPr>
          <w:rFonts w:ascii="Book Antiqua" w:hAnsi="Book Antiqua" w:cs="Times New Roman"/>
          <w:i/>
          <w:sz w:val="28"/>
          <w:szCs w:val="28"/>
        </w:rPr>
        <w:t xml:space="preserve">Civil </w:t>
      </w:r>
      <w:proofErr w:type="spellStart"/>
      <w:r w:rsidRPr="00384169">
        <w:rPr>
          <w:rFonts w:ascii="Book Antiqua" w:hAnsi="Book Antiqua" w:cs="Times New Roman"/>
          <w:i/>
          <w:sz w:val="28"/>
          <w:szCs w:val="28"/>
        </w:rPr>
        <w:t>Law</w:t>
      </w:r>
      <w:proofErr w:type="spellEnd"/>
      <w:r w:rsidRPr="00384169">
        <w:rPr>
          <w:rFonts w:ascii="Book Antiqua" w:hAnsi="Book Antiqua" w:cs="Times New Roman"/>
          <w:sz w:val="28"/>
          <w:szCs w:val="28"/>
        </w:rPr>
        <w:t xml:space="preserve">) dirigidos cada uno, con sus peculiaridades jurídicas, a solucionar los problemas de sus ciudadanos. Con el </w:t>
      </w:r>
      <w:r w:rsidRPr="00384169">
        <w:rPr>
          <w:rFonts w:ascii="Book Antiqua" w:hAnsi="Book Antiqua" w:cs="Times New Roman"/>
          <w:i/>
          <w:sz w:val="28"/>
          <w:szCs w:val="28"/>
        </w:rPr>
        <w:t>Brexit,</w:t>
      </w:r>
      <w:r w:rsidRPr="00384169">
        <w:rPr>
          <w:rFonts w:ascii="Book Antiqua" w:hAnsi="Book Antiqua" w:cs="Times New Roman"/>
          <w:sz w:val="28"/>
          <w:szCs w:val="28"/>
        </w:rPr>
        <w:t xml:space="preserve"> el</w:t>
      </w:r>
      <w:r w:rsidRPr="00384169">
        <w:rPr>
          <w:rFonts w:ascii="Book Antiqua" w:eastAsia="Times New Roman" w:hAnsi="Book Antiqua" w:cs="Times New Roman"/>
          <w:sz w:val="28"/>
          <w:szCs w:val="28"/>
          <w:lang w:val="es-ES_tradnl"/>
        </w:rPr>
        <w:t xml:space="preserve"> </w:t>
      </w:r>
      <w:proofErr w:type="spellStart"/>
      <w:r w:rsidRPr="00384169">
        <w:rPr>
          <w:rFonts w:ascii="Book Antiqua" w:eastAsia="Times New Roman" w:hAnsi="Book Antiqua" w:cs="Times New Roman"/>
          <w:i/>
          <w:sz w:val="28"/>
          <w:szCs w:val="28"/>
          <w:lang w:val="es-ES_tradnl"/>
        </w:rPr>
        <w:t>Common</w:t>
      </w:r>
      <w:proofErr w:type="spellEnd"/>
      <w:r w:rsidRPr="00384169">
        <w:rPr>
          <w:rFonts w:ascii="Book Antiqua" w:eastAsia="Times New Roman" w:hAnsi="Book Antiqua" w:cs="Times New Roman"/>
          <w:i/>
          <w:sz w:val="28"/>
          <w:szCs w:val="28"/>
          <w:lang w:val="es-ES_tradnl"/>
        </w:rPr>
        <w:t xml:space="preserve"> </w:t>
      </w:r>
      <w:proofErr w:type="spellStart"/>
      <w:r w:rsidRPr="00384169">
        <w:rPr>
          <w:rFonts w:ascii="Book Antiqua" w:eastAsia="Times New Roman" w:hAnsi="Book Antiqua" w:cs="Times New Roman"/>
          <w:i/>
          <w:sz w:val="28"/>
          <w:szCs w:val="28"/>
          <w:lang w:val="es-ES_tradnl"/>
        </w:rPr>
        <w:t>Law</w:t>
      </w:r>
      <w:proofErr w:type="spellEnd"/>
      <w:r w:rsidRPr="00384169">
        <w:rPr>
          <w:rFonts w:ascii="Book Antiqua" w:eastAsia="Times New Roman" w:hAnsi="Book Antiqua" w:cs="Times New Roman"/>
          <w:sz w:val="28"/>
          <w:szCs w:val="28"/>
          <w:lang w:val="es-ES_tradnl"/>
        </w:rPr>
        <w:t>, que ha sido un elemento incómodo y hasta cierto punto distorsionador de la ineludible pretensión de unificación jurídica europea, ha dejado de formar parte de los ordenamientos jurídicos de la Unión. De este modo desaparece</w:t>
      </w:r>
      <w:r>
        <w:rPr>
          <w:rFonts w:ascii="Book Antiqua" w:eastAsia="Times New Roman" w:hAnsi="Book Antiqua" w:cs="Times New Roman"/>
          <w:sz w:val="28"/>
          <w:szCs w:val="28"/>
          <w:lang w:val="es-ES_tradnl"/>
        </w:rPr>
        <w:t xml:space="preserve"> el “</w:t>
      </w:r>
      <w:r w:rsidRPr="00384169">
        <w:rPr>
          <w:rFonts w:ascii="Book Antiqua" w:eastAsia="Times New Roman" w:hAnsi="Book Antiqua" w:cs="Times New Roman"/>
          <w:sz w:val="28"/>
          <w:szCs w:val="28"/>
          <w:lang w:val="es-ES_tradnl"/>
        </w:rPr>
        <w:t>problema”, dicho con el mayor de los respetos, y se nos brinda una gran oportunidad a los estudiosos del Derecho romano, para hacer valer nuestra influencia en la configuración del futuro ordenamiento jurídico común, del cual el RES forma parte</w:t>
      </w:r>
      <w:r w:rsidRPr="00384169">
        <w:rPr>
          <w:rStyle w:val="Refdenotaalpie"/>
          <w:rFonts w:ascii="Book Antiqua" w:eastAsia="Times New Roman" w:hAnsi="Book Antiqua" w:cs="Times New Roman"/>
          <w:sz w:val="28"/>
          <w:szCs w:val="28"/>
          <w:lang w:val="es-ES_tradnl"/>
        </w:rPr>
        <w:footnoteReference w:id="4"/>
      </w:r>
      <w:r w:rsidRPr="00384169">
        <w:rPr>
          <w:rFonts w:ascii="Book Antiqua" w:eastAsia="Times New Roman" w:hAnsi="Book Antiqua" w:cs="Times New Roman"/>
          <w:sz w:val="28"/>
          <w:szCs w:val="28"/>
          <w:lang w:val="es-ES_tradnl"/>
        </w:rPr>
        <w:t xml:space="preserve">. </w:t>
      </w:r>
    </w:p>
    <w:p w14:paraId="4B07E6A1" w14:textId="475874F5" w:rsidR="00CF1325" w:rsidRPr="00310021" w:rsidRDefault="00CF1325" w:rsidP="00C96516">
      <w:pPr>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08779" w14:textId="77777777" w:rsidR="008F26E4" w:rsidRDefault="008F26E4" w:rsidP="008C2933">
      <w:r>
        <w:separator/>
      </w:r>
    </w:p>
  </w:endnote>
  <w:endnote w:type="continuationSeparator" w:id="0">
    <w:p w14:paraId="601E8468" w14:textId="77777777" w:rsidR="008F26E4" w:rsidRDefault="008F26E4"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8F26E4"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E33A" w14:textId="77777777" w:rsidR="008F26E4" w:rsidRDefault="008F26E4" w:rsidP="008C2933">
      <w:r>
        <w:separator/>
      </w:r>
    </w:p>
  </w:footnote>
  <w:footnote w:type="continuationSeparator" w:id="0">
    <w:p w14:paraId="05409CF1" w14:textId="77777777" w:rsidR="008F26E4" w:rsidRDefault="008F26E4" w:rsidP="008C2933">
      <w:r>
        <w:continuationSeparator/>
      </w:r>
    </w:p>
  </w:footnote>
  <w:footnote w:id="1">
    <w:p w14:paraId="75259A4D" w14:textId="77777777" w:rsidR="00C96516" w:rsidRDefault="00C96516" w:rsidP="00C96516">
      <w:pPr>
        <w:pStyle w:val="Textonotapie"/>
        <w:rPr>
          <w:rFonts w:ascii="Book Antiqua" w:hAnsi="Book Antiqua"/>
          <w:szCs w:val="24"/>
        </w:rPr>
      </w:pPr>
      <w:r w:rsidRPr="001124B8">
        <w:rPr>
          <w:rStyle w:val="Refdenotaalpie"/>
          <w:rFonts w:ascii="Book Antiqua" w:hAnsi="Book Antiqua"/>
          <w:szCs w:val="24"/>
        </w:rPr>
        <w:footnoteRef/>
      </w:r>
      <w:r w:rsidRPr="001124B8">
        <w:rPr>
          <w:rFonts w:ascii="Book Antiqua" w:hAnsi="Book Antiqua"/>
          <w:szCs w:val="24"/>
        </w:rPr>
        <w:t xml:space="preserve"> </w:t>
      </w:r>
      <w:proofErr w:type="spellStart"/>
      <w:r w:rsidRPr="001124B8">
        <w:rPr>
          <w:rFonts w:ascii="Book Antiqua" w:hAnsi="Book Antiqua"/>
          <w:i/>
          <w:szCs w:val="24"/>
        </w:rPr>
        <w:t>Idem</w:t>
      </w:r>
      <w:proofErr w:type="spellEnd"/>
      <w:r w:rsidRPr="001124B8">
        <w:rPr>
          <w:rFonts w:ascii="Book Antiqua" w:hAnsi="Book Antiqua"/>
          <w:szCs w:val="24"/>
        </w:rPr>
        <w:t xml:space="preserve"> en Fundamentos </w:t>
      </w:r>
      <w:proofErr w:type="spellStart"/>
      <w:r w:rsidRPr="001124B8">
        <w:rPr>
          <w:rFonts w:ascii="Book Antiqua" w:hAnsi="Book Antiqua"/>
          <w:szCs w:val="24"/>
        </w:rPr>
        <w:t>romanísticos</w:t>
      </w:r>
      <w:proofErr w:type="spellEnd"/>
      <w:r w:rsidRPr="001124B8">
        <w:rPr>
          <w:rFonts w:ascii="Book Antiqua" w:hAnsi="Book Antiqua"/>
          <w:szCs w:val="24"/>
        </w:rPr>
        <w:t xml:space="preserve"> del Derecho Europeo e Iberoamericano, vol. 2, Oviedo, 2020, págs. 49-112.</w:t>
      </w:r>
      <w:r>
        <w:rPr>
          <w:rFonts w:ascii="Book Antiqua" w:hAnsi="Book Antiqua"/>
          <w:szCs w:val="24"/>
        </w:rPr>
        <w:t xml:space="preserve"> </w:t>
      </w:r>
      <w:hyperlink r:id="rId1" w:history="1">
        <w:r w:rsidRPr="00327302">
          <w:rPr>
            <w:rStyle w:val="Hipervnculo"/>
            <w:rFonts w:ascii="Book Antiqua" w:eastAsia="Calibri" w:hAnsi="Book Antiqua"/>
            <w:szCs w:val="24"/>
          </w:rPr>
          <w:t>https://www.boe.es/biblioteca_juridica/abrir_pdf.php?id=PUB-DR-2020-155_2</w:t>
        </w:r>
      </w:hyperlink>
    </w:p>
    <w:p w14:paraId="3E9D8192" w14:textId="77777777" w:rsidR="00C96516" w:rsidRPr="001124B8" w:rsidRDefault="00C96516" w:rsidP="00C96516">
      <w:pPr>
        <w:pStyle w:val="Textonotapie"/>
        <w:rPr>
          <w:rFonts w:ascii="Book Antiqua" w:hAnsi="Book Antiqua"/>
          <w:szCs w:val="24"/>
        </w:rPr>
      </w:pPr>
    </w:p>
  </w:footnote>
  <w:footnote w:id="2">
    <w:p w14:paraId="1FABCEBF" w14:textId="77777777" w:rsidR="00C96516" w:rsidRPr="001124B8" w:rsidRDefault="00C96516" w:rsidP="00C96516">
      <w:pPr>
        <w:pStyle w:val="Textonotapie"/>
        <w:rPr>
          <w:rFonts w:ascii="Book Antiqua" w:hAnsi="Book Antiqua"/>
          <w:szCs w:val="24"/>
        </w:rPr>
      </w:pPr>
      <w:r w:rsidRPr="001124B8">
        <w:rPr>
          <w:rStyle w:val="Refdenotaalpie"/>
          <w:rFonts w:ascii="Book Antiqua" w:hAnsi="Book Antiqua"/>
          <w:szCs w:val="24"/>
        </w:rPr>
        <w:footnoteRef/>
      </w:r>
      <w:r w:rsidRPr="001124B8">
        <w:rPr>
          <w:rFonts w:ascii="Book Antiqua" w:hAnsi="Book Antiqua"/>
          <w:szCs w:val="24"/>
        </w:rPr>
        <w:t xml:space="preserve"> </w:t>
      </w:r>
      <w:r w:rsidRPr="001124B8">
        <w:rPr>
          <w:rFonts w:ascii="Book Antiqua" w:hAnsi="Book Antiqua"/>
          <w:smallCaps/>
          <w:szCs w:val="24"/>
        </w:rPr>
        <w:t>Torrent, A</w:t>
      </w:r>
      <w:r w:rsidRPr="001124B8">
        <w:rPr>
          <w:rFonts w:ascii="Book Antiqua" w:hAnsi="Book Antiqua"/>
          <w:szCs w:val="24"/>
        </w:rPr>
        <w:t xml:space="preserve">., </w:t>
      </w:r>
      <w:r w:rsidRPr="001124B8">
        <w:rPr>
          <w:rFonts w:ascii="Book Antiqua" w:hAnsi="Book Antiqua"/>
          <w:i/>
          <w:szCs w:val="24"/>
        </w:rPr>
        <w:t>El Derecho romano como instrumento para la crítica del Derecho positivo</w:t>
      </w:r>
      <w:r w:rsidRPr="001124B8">
        <w:rPr>
          <w:rFonts w:ascii="Book Antiqua" w:hAnsi="Book Antiqua"/>
          <w:szCs w:val="24"/>
        </w:rPr>
        <w:t xml:space="preserve">, en Homenaje a J. B. </w:t>
      </w:r>
      <w:proofErr w:type="spellStart"/>
      <w:r w:rsidRPr="001124B8">
        <w:rPr>
          <w:rFonts w:ascii="Book Antiqua" w:hAnsi="Book Antiqua"/>
          <w:szCs w:val="24"/>
        </w:rPr>
        <w:t>Vallet</w:t>
      </w:r>
      <w:proofErr w:type="spellEnd"/>
      <w:r w:rsidRPr="001124B8">
        <w:rPr>
          <w:rFonts w:ascii="Book Antiqua" w:hAnsi="Book Antiqua"/>
          <w:szCs w:val="24"/>
        </w:rPr>
        <w:t xml:space="preserve"> de Goytisolo, vol. 1, Madrid, 1988, págs. 753-764.</w:t>
      </w:r>
    </w:p>
  </w:footnote>
  <w:footnote w:id="3">
    <w:p w14:paraId="1D273EAB" w14:textId="77777777" w:rsidR="00C96516" w:rsidRPr="001124B8" w:rsidRDefault="00C96516" w:rsidP="00C96516">
      <w:pPr>
        <w:pStyle w:val="Textonotapie"/>
        <w:rPr>
          <w:rFonts w:ascii="Book Antiqua" w:hAnsi="Book Antiqua"/>
          <w:szCs w:val="24"/>
        </w:rPr>
      </w:pPr>
      <w:r w:rsidRPr="001124B8">
        <w:rPr>
          <w:rStyle w:val="Refdenotaalpie"/>
          <w:rFonts w:ascii="Book Antiqua" w:hAnsi="Book Antiqua"/>
          <w:szCs w:val="24"/>
        </w:rPr>
        <w:footnoteRef/>
      </w:r>
      <w:r w:rsidRPr="001124B8">
        <w:rPr>
          <w:rFonts w:ascii="Book Antiqua" w:hAnsi="Book Antiqua"/>
          <w:szCs w:val="24"/>
        </w:rPr>
        <w:t xml:space="preserve"> </w:t>
      </w:r>
      <w:r w:rsidRPr="001124B8">
        <w:rPr>
          <w:rFonts w:ascii="Book Antiqua" w:hAnsi="Book Antiqua"/>
          <w:i/>
          <w:szCs w:val="24"/>
        </w:rPr>
        <w:t>Vid</w:t>
      </w:r>
      <w:r w:rsidRPr="001124B8">
        <w:rPr>
          <w:rFonts w:ascii="Book Antiqua" w:hAnsi="Book Antiqua"/>
          <w:szCs w:val="24"/>
        </w:rPr>
        <w:t xml:space="preserve">. </w:t>
      </w:r>
      <w:r w:rsidRPr="001124B8">
        <w:rPr>
          <w:rFonts w:ascii="Book Antiqua" w:hAnsi="Book Antiqua"/>
          <w:smallCaps/>
          <w:szCs w:val="24"/>
        </w:rPr>
        <w:t>Ordine, N.,</w:t>
      </w:r>
      <w:r w:rsidRPr="001124B8">
        <w:rPr>
          <w:rFonts w:ascii="Book Antiqua" w:hAnsi="Book Antiqua"/>
          <w:szCs w:val="24"/>
        </w:rPr>
        <w:t xml:space="preserve"> </w:t>
      </w:r>
      <w:r w:rsidRPr="001124B8">
        <w:rPr>
          <w:rFonts w:ascii="Book Antiqua" w:hAnsi="Book Antiqua"/>
          <w:i/>
          <w:szCs w:val="24"/>
        </w:rPr>
        <w:t>La utilidad de lo inútil</w:t>
      </w:r>
      <w:r w:rsidRPr="001124B8">
        <w:rPr>
          <w:rFonts w:ascii="Book Antiqua" w:hAnsi="Book Antiqua"/>
          <w:szCs w:val="24"/>
        </w:rPr>
        <w:t xml:space="preserve">, (trad. esp. J. </w:t>
      </w:r>
      <w:proofErr w:type="spellStart"/>
      <w:r w:rsidRPr="001124B8">
        <w:rPr>
          <w:rFonts w:ascii="Book Antiqua" w:hAnsi="Book Antiqua"/>
          <w:szCs w:val="24"/>
        </w:rPr>
        <w:t>Bayod</w:t>
      </w:r>
      <w:proofErr w:type="spellEnd"/>
      <w:r w:rsidRPr="001124B8">
        <w:rPr>
          <w:rFonts w:ascii="Book Antiqua" w:hAnsi="Book Antiqua"/>
          <w:szCs w:val="24"/>
        </w:rPr>
        <w:t>), 10ª ed., Barcelona, 2013.</w:t>
      </w:r>
    </w:p>
  </w:footnote>
  <w:footnote w:id="4">
    <w:p w14:paraId="059BF254" w14:textId="77777777" w:rsidR="00C96516" w:rsidRPr="001124B8" w:rsidRDefault="00C96516" w:rsidP="00C96516">
      <w:pPr>
        <w:pStyle w:val="Textonotapie"/>
        <w:rPr>
          <w:rFonts w:ascii="Book Antiqua" w:hAnsi="Book Antiqua"/>
          <w:szCs w:val="24"/>
        </w:rPr>
      </w:pPr>
      <w:r w:rsidRPr="001124B8">
        <w:rPr>
          <w:rStyle w:val="Refdenotaalpie"/>
          <w:rFonts w:ascii="Book Antiqua" w:hAnsi="Book Antiqua"/>
          <w:szCs w:val="24"/>
        </w:rPr>
        <w:footnoteRef/>
      </w:r>
      <w:r w:rsidRPr="001124B8">
        <w:rPr>
          <w:rFonts w:ascii="Book Antiqua" w:hAnsi="Book Antiqua"/>
          <w:szCs w:val="24"/>
        </w:rPr>
        <w:t xml:space="preserve"> </w:t>
      </w:r>
      <w:r w:rsidRPr="001124B8">
        <w:rPr>
          <w:rFonts w:ascii="Book Antiqua" w:hAnsi="Book Antiqua"/>
          <w:smallCaps/>
          <w:szCs w:val="24"/>
        </w:rPr>
        <w:t>Murillo</w:t>
      </w:r>
      <w:r>
        <w:rPr>
          <w:rFonts w:ascii="Book Antiqua" w:hAnsi="Book Antiqua"/>
          <w:smallCaps/>
          <w:szCs w:val="24"/>
        </w:rPr>
        <w:t xml:space="preserve"> Villar</w:t>
      </w:r>
      <w:r w:rsidRPr="001124B8">
        <w:rPr>
          <w:rFonts w:ascii="Book Antiqua" w:hAnsi="Book Antiqua"/>
          <w:smallCaps/>
          <w:szCs w:val="24"/>
        </w:rPr>
        <w:t>, A.,</w:t>
      </w:r>
      <w:r w:rsidRPr="001124B8">
        <w:rPr>
          <w:rFonts w:ascii="Book Antiqua" w:hAnsi="Book Antiqua"/>
          <w:szCs w:val="24"/>
        </w:rPr>
        <w:t xml:space="preserve"> </w:t>
      </w:r>
      <w:r w:rsidRPr="001124B8">
        <w:rPr>
          <w:rFonts w:ascii="Book Antiqua" w:hAnsi="Book Antiqua"/>
          <w:i/>
          <w:szCs w:val="24"/>
        </w:rPr>
        <w:t>El Brexit: todo un reto para el Derecho romano</w:t>
      </w:r>
      <w:r w:rsidRPr="001124B8">
        <w:rPr>
          <w:rFonts w:ascii="Book Antiqua" w:hAnsi="Book Antiqua"/>
          <w:szCs w:val="24"/>
        </w:rPr>
        <w:t xml:space="preserve">, en RIDROM: Revista Internacional de Derecho Romano </w:t>
      </w:r>
      <w:proofErr w:type="spellStart"/>
      <w:r w:rsidRPr="001124B8">
        <w:rPr>
          <w:rFonts w:ascii="Book Antiqua" w:hAnsi="Book Antiqua"/>
          <w:szCs w:val="24"/>
        </w:rPr>
        <w:t>nº</w:t>
      </w:r>
      <w:proofErr w:type="spellEnd"/>
      <w:r w:rsidRPr="001124B8">
        <w:rPr>
          <w:rFonts w:ascii="Book Antiqua" w:hAnsi="Book Antiqua"/>
          <w:szCs w:val="24"/>
        </w:rPr>
        <w:t xml:space="preserve"> 23, 2019, págs. 1-45.</w:t>
      </w:r>
    </w:p>
    <w:p w14:paraId="4AAC2993" w14:textId="77777777" w:rsidR="00C96516" w:rsidRPr="001124B8" w:rsidRDefault="00C96516" w:rsidP="00C96516">
      <w:pPr>
        <w:pStyle w:val="Textonotapie"/>
        <w:rPr>
          <w:rFonts w:ascii="Book Antiqua" w:hAnsi="Book Antiqua"/>
          <w:szCs w:val="24"/>
        </w:rPr>
      </w:pPr>
      <w:hyperlink r:id="rId2" w:history="1">
        <w:r w:rsidRPr="001124B8">
          <w:rPr>
            <w:rStyle w:val="Hipervnculo"/>
            <w:rFonts w:ascii="Book Antiqua" w:eastAsia="Calibri" w:hAnsi="Book Antiqua"/>
            <w:szCs w:val="24"/>
          </w:rPr>
          <w:t>http://www.ridrom.uclm.es/documentos23/murillo23_pub.pdf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3F4B4610" w:rsidR="006B0386" w:rsidRPr="008E5A1F" w:rsidRDefault="00961AF5"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w:t>
    </w:r>
    <w:r>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92B55"/>
    <w:multiLevelType w:val="hybridMultilevel"/>
    <w:tmpl w:val="397A82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A3C47"/>
    <w:rsid w:val="000B2230"/>
    <w:rsid w:val="000C0D90"/>
    <w:rsid w:val="000C3BA7"/>
    <w:rsid w:val="000C6BBA"/>
    <w:rsid w:val="000D5607"/>
    <w:rsid w:val="000E6ADA"/>
    <w:rsid w:val="000F0AF7"/>
    <w:rsid w:val="00100AD2"/>
    <w:rsid w:val="001038CC"/>
    <w:rsid w:val="00147932"/>
    <w:rsid w:val="00162D48"/>
    <w:rsid w:val="001637C6"/>
    <w:rsid w:val="00192159"/>
    <w:rsid w:val="00192692"/>
    <w:rsid w:val="001927BD"/>
    <w:rsid w:val="00197421"/>
    <w:rsid w:val="001A5540"/>
    <w:rsid w:val="001D23E4"/>
    <w:rsid w:val="001D798F"/>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B6A01"/>
    <w:rsid w:val="002C0795"/>
    <w:rsid w:val="002C405A"/>
    <w:rsid w:val="002D2CB5"/>
    <w:rsid w:val="002F55E3"/>
    <w:rsid w:val="00310021"/>
    <w:rsid w:val="00312B24"/>
    <w:rsid w:val="00314AAE"/>
    <w:rsid w:val="00326BC6"/>
    <w:rsid w:val="003800A5"/>
    <w:rsid w:val="00386B31"/>
    <w:rsid w:val="00386D56"/>
    <w:rsid w:val="0039290D"/>
    <w:rsid w:val="003A3162"/>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C0B45"/>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66A78"/>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8F26E4"/>
    <w:rsid w:val="00911B9D"/>
    <w:rsid w:val="00912B9F"/>
    <w:rsid w:val="009273B9"/>
    <w:rsid w:val="00927E12"/>
    <w:rsid w:val="009302C9"/>
    <w:rsid w:val="009375D2"/>
    <w:rsid w:val="00951F1F"/>
    <w:rsid w:val="00961AF5"/>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516"/>
    <w:rsid w:val="00C967CD"/>
    <w:rsid w:val="00CD0CC1"/>
    <w:rsid w:val="00CD384B"/>
    <w:rsid w:val="00CD4509"/>
    <w:rsid w:val="00CE5D71"/>
    <w:rsid w:val="00CF1325"/>
    <w:rsid w:val="00D12766"/>
    <w:rsid w:val="00D17F83"/>
    <w:rsid w:val="00D235F8"/>
    <w:rsid w:val="00D3143C"/>
    <w:rsid w:val="00D66275"/>
    <w:rsid w:val="00D82D0C"/>
    <w:rsid w:val="00D84662"/>
    <w:rsid w:val="00D97914"/>
    <w:rsid w:val="00DA553D"/>
    <w:rsid w:val="00DC6B52"/>
    <w:rsid w:val="00DD171C"/>
    <w:rsid w:val="00DE54FC"/>
    <w:rsid w:val="00DE7C07"/>
    <w:rsid w:val="00E00A63"/>
    <w:rsid w:val="00E3487C"/>
    <w:rsid w:val="00E60F8B"/>
    <w:rsid w:val="00E677FC"/>
    <w:rsid w:val="00E96581"/>
    <w:rsid w:val="00EC1C68"/>
    <w:rsid w:val="00EC557E"/>
    <w:rsid w:val="00EC7C68"/>
    <w:rsid w:val="00EE3298"/>
    <w:rsid w:val="00EE4178"/>
    <w:rsid w:val="00EF17EF"/>
    <w:rsid w:val="00F23449"/>
    <w:rsid w:val="00F300B7"/>
    <w:rsid w:val="00F32DB4"/>
    <w:rsid w:val="00F3622A"/>
    <w:rsid w:val="00F421A3"/>
    <w:rsid w:val="00F563FE"/>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muvi@ubu.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idrom.uclm.es/documentos23/murillo23_pub.pdf" TargetMode="External"/><Relationship Id="rId1" Type="http://schemas.openxmlformats.org/officeDocument/2006/relationships/hyperlink" Target="https://www.boe.es/biblioteca_juridica/abrir_pdf.php?id=PUB-DR-2020-155_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1319</Words>
  <Characters>7138</Characters>
  <Application>Microsoft Office Word</Application>
  <DocSecurity>0</DocSecurity>
  <Lines>151</Lines>
  <Paragraphs>21</Paragraphs>
  <ScaleCrop>false</ScaleCrop>
  <HeadingPairs>
    <vt:vector size="2" baseType="variant">
      <vt:variant>
        <vt:lpstr>Título</vt:lpstr>
      </vt:variant>
      <vt:variant>
        <vt:i4>1</vt:i4>
      </vt:variant>
    </vt:vector>
  </HeadingPairs>
  <TitlesOfParts>
    <vt:vector size="1" baseType="lpstr">
      <vt:lpstr>LÓPEZ-RENDO RODRÍGUEZ, Mª DEL CARMEN - AZAUSTRE FERNÁNDEZ, Mª JOSÉ, Sumisión y residencia habitual en el Reglamento Europeo de Sucesiones: Fundamentos romanísticos, en RIDROM: Revista Internacional de Derecho Romano, nº 24, 2020, págs. 150-260</vt:lpstr>
    </vt:vector>
  </TitlesOfParts>
  <Manager>Gustavo de las Heras</Manager>
  <Company>RIDROM</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LÓPEZ-RENDO RODRÍGUEZ, Mª DEL CARMEN - AZAUSTRE FERNÁNDEZ, Mª JOSÉ, Sumisión y residencia habitual en el Reglamento Europeo de Sucesiones: Fundamentos romanísticos, en RIDROM: Revista Internacional de Derecho Romano, nº 24, 2020, págs. 150-260</dc:title>
  <dc:subject>MURILLO, Alfonso. López-Rendo Rodríguez, Mª del Carmen - Azaustre Fernández, Mª José, Sumisión y residencia habitual en el Reglamento Europeo de Sucesiones: Fundamentos romanísticos, en RIDROM: Revista Internacional de Derecho Romano, nº 24, 2020, págs. 150-260. RIDROM [on line]. 26-2021.  ISSN 1989-1970.  p. 535-540. http://www.ridrom.uclm.es</dc:subject>
  <dc:creator>MURILLO, Alfonso</dc:creator>
  <cp:keywords>recensión</cp:keywords>
  <dc:description>recensión</dc:description>
  <cp:lastModifiedBy>Gustavo Raúl de las Heras Sánchez</cp:lastModifiedBy>
  <cp:revision>7</cp:revision>
  <cp:lastPrinted>2020-10-23T19:07:00Z</cp:lastPrinted>
  <dcterms:created xsi:type="dcterms:W3CDTF">2021-04-26T10:30:00Z</dcterms:created>
  <dcterms:modified xsi:type="dcterms:W3CDTF">2021-04-26T10:46:00Z</dcterms:modified>
</cp:coreProperties>
</file>