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normal4"/>
        <w:tblW w:w="9781" w:type="dxa"/>
        <w:tblLook w:val="0600" w:firstRow="0" w:lastRow="0" w:firstColumn="0" w:lastColumn="0" w:noHBand="1" w:noVBand="1"/>
      </w:tblPr>
      <w:tblGrid>
        <w:gridCol w:w="2410"/>
        <w:gridCol w:w="2480"/>
        <w:gridCol w:w="2481"/>
        <w:gridCol w:w="2410"/>
      </w:tblGrid>
      <w:tr w:rsidR="000C3BA7" w14:paraId="63152388" w14:textId="77777777" w:rsidTr="000C0D90">
        <w:trPr>
          <w:trHeight w:val="1962"/>
        </w:trPr>
        <w:tc>
          <w:tcPr>
            <w:tcW w:w="9781" w:type="dxa"/>
            <w:gridSpan w:val="4"/>
            <w:vAlign w:val="center"/>
          </w:tcPr>
          <w:p w14:paraId="346B7822" w14:textId="77777777" w:rsidR="000C3BA7" w:rsidRPr="003E0BEE" w:rsidRDefault="000C3BA7" w:rsidP="00514D56">
            <w:pPr>
              <w:spacing w:line="20" w:lineRule="exact"/>
              <w:jc w:val="center"/>
              <w:rPr>
                <w:rFonts w:ascii="Book Antiqua" w:eastAsia="Times New Roman" w:hAnsi="Book Antiqua"/>
                <w:sz w:val="24"/>
              </w:rPr>
            </w:pPr>
          </w:p>
          <w:p w14:paraId="0DC1E905" w14:textId="75AEE0AC" w:rsidR="00514D56" w:rsidRPr="003E0BEE" w:rsidRDefault="00514D56" w:rsidP="00514D56">
            <w:pPr>
              <w:tabs>
                <w:tab w:val="left" w:pos="4284"/>
              </w:tabs>
              <w:jc w:val="center"/>
              <w:rPr>
                <w:rFonts w:ascii="Book Antiqua" w:eastAsia="Times New Roman" w:hAnsi="Book Antiqua"/>
                <w:sz w:val="24"/>
              </w:rPr>
            </w:pPr>
            <w:r w:rsidRPr="003E0BEE">
              <w:rPr>
                <w:rFonts w:ascii="Book Antiqua" w:eastAsia="Times New Roman" w:hAnsi="Book Antiqua"/>
                <w:noProof/>
                <w:sz w:val="24"/>
              </w:rPr>
              <w:drawing>
                <wp:inline distT="0" distB="0" distL="0" distR="0" wp14:anchorId="79E67C27" wp14:editId="1FE029C3">
                  <wp:extent cx="3048000" cy="9753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evista_nombre.jpg"/>
                          <pic:cNvPicPr/>
                        </pic:nvPicPr>
                        <pic:blipFill>
                          <a:blip r:embed="rId8">
                            <a:extLst>
                              <a:ext uri="{28A0092B-C50C-407E-A947-70E740481C1C}">
                                <a14:useLocalDpi xmlns:a14="http://schemas.microsoft.com/office/drawing/2010/main" val="0"/>
                              </a:ext>
                            </a:extLst>
                          </a:blip>
                          <a:stretch>
                            <a:fillRect/>
                          </a:stretch>
                        </pic:blipFill>
                        <pic:spPr>
                          <a:xfrm>
                            <a:off x="0" y="0"/>
                            <a:ext cx="3048000" cy="975360"/>
                          </a:xfrm>
                          <a:prstGeom prst="rect">
                            <a:avLst/>
                          </a:prstGeom>
                        </pic:spPr>
                      </pic:pic>
                    </a:graphicData>
                  </a:graphic>
                </wp:inline>
              </w:drawing>
            </w:r>
          </w:p>
        </w:tc>
      </w:tr>
      <w:tr w:rsidR="000C3BA7" w14:paraId="1A718248" w14:textId="77777777" w:rsidTr="000C0D90">
        <w:trPr>
          <w:trHeight w:val="585"/>
        </w:trPr>
        <w:tc>
          <w:tcPr>
            <w:tcW w:w="2410" w:type="dxa"/>
            <w:tcBorders>
              <w:bottom w:val="thinThickSmallGap" w:sz="24" w:space="0" w:color="C45911" w:themeColor="accent2" w:themeShade="BF"/>
            </w:tcBorders>
          </w:tcPr>
          <w:p w14:paraId="40B1AF29" w14:textId="77777777" w:rsidR="000C3BA7" w:rsidRPr="003E0BEE" w:rsidRDefault="000C3BA7" w:rsidP="008C2933">
            <w:pPr>
              <w:spacing w:line="20" w:lineRule="exact"/>
              <w:rPr>
                <w:rFonts w:ascii="Book Antiqua" w:eastAsia="Times New Roman" w:hAnsi="Book Antiqua"/>
                <w:color w:val="C45911" w:themeColor="accent2" w:themeShade="BF"/>
                <w:sz w:val="24"/>
              </w:rPr>
            </w:pPr>
          </w:p>
          <w:p w14:paraId="3D00F385" w14:textId="10AE88C2" w:rsidR="003E0BEE" w:rsidRPr="003E0BEE" w:rsidRDefault="003E0BEE" w:rsidP="00314AAE">
            <w:pPr>
              <w:jc w:val="center"/>
              <w:rPr>
                <w:rFonts w:ascii="Book Antiqua" w:eastAsia="Times New Roman" w:hAnsi="Book Antiqua"/>
                <w:b/>
                <w:bCs/>
                <w:color w:val="C45911" w:themeColor="accent2" w:themeShade="BF"/>
              </w:rPr>
            </w:pPr>
            <w:r w:rsidRPr="003E0BEE">
              <w:rPr>
                <w:rFonts w:ascii="Book Antiqua" w:eastAsia="Times New Roman" w:hAnsi="Book Antiqua"/>
                <w:b/>
                <w:bCs/>
                <w:color w:val="C45911" w:themeColor="accent2" w:themeShade="BF"/>
              </w:rPr>
              <w:t>ISSN 1989-1970</w:t>
            </w:r>
          </w:p>
        </w:tc>
        <w:tc>
          <w:tcPr>
            <w:tcW w:w="4961" w:type="dxa"/>
            <w:gridSpan w:val="2"/>
            <w:tcBorders>
              <w:bottom w:val="thinThickSmallGap" w:sz="24" w:space="0" w:color="C45911" w:themeColor="accent2" w:themeShade="BF"/>
            </w:tcBorders>
          </w:tcPr>
          <w:p w14:paraId="4E98E115" w14:textId="77777777" w:rsidR="000C3BA7" w:rsidRDefault="000C3BA7" w:rsidP="008C2933">
            <w:pPr>
              <w:spacing w:line="20" w:lineRule="exact"/>
              <w:rPr>
                <w:rFonts w:ascii="Book Antiqua" w:eastAsia="Times New Roman" w:hAnsi="Book Antiqua"/>
                <w:sz w:val="24"/>
              </w:rPr>
            </w:pPr>
          </w:p>
          <w:p w14:paraId="688B0A5C" w14:textId="694302EE" w:rsidR="003E0BEE" w:rsidRPr="003E0BEE" w:rsidRDefault="005861EB" w:rsidP="003E0BEE">
            <w:pPr>
              <w:jc w:val="center"/>
              <w:rPr>
                <w:rFonts w:ascii="Book Antiqua" w:eastAsia="Times New Roman" w:hAnsi="Book Antiqua"/>
              </w:rPr>
            </w:pPr>
            <w:r>
              <w:rPr>
                <w:rFonts w:ascii="Book Antiqua" w:eastAsia="Times New Roman" w:hAnsi="Book Antiqua"/>
                <w:b/>
                <w:bCs/>
                <w:color w:val="C45911" w:themeColor="accent2" w:themeShade="BF"/>
                <w:sz w:val="24"/>
                <w:szCs w:val="24"/>
              </w:rPr>
              <w:t>Octubre</w:t>
            </w:r>
            <w:r w:rsidR="003E0BEE" w:rsidRPr="00314AAE">
              <w:rPr>
                <w:rFonts w:ascii="Book Antiqua" w:eastAsia="Times New Roman" w:hAnsi="Book Antiqua"/>
                <w:b/>
                <w:bCs/>
                <w:color w:val="C45911" w:themeColor="accent2" w:themeShade="BF"/>
                <w:sz w:val="24"/>
                <w:szCs w:val="24"/>
              </w:rPr>
              <w:t>-202</w:t>
            </w:r>
            <w:r w:rsidR="001D2E9D">
              <w:rPr>
                <w:rFonts w:ascii="Book Antiqua" w:eastAsia="Times New Roman" w:hAnsi="Book Antiqua"/>
                <w:b/>
                <w:bCs/>
                <w:color w:val="C45911" w:themeColor="accent2" w:themeShade="BF"/>
                <w:sz w:val="24"/>
                <w:szCs w:val="24"/>
              </w:rPr>
              <w:t>1</w:t>
            </w:r>
            <w:r w:rsidR="003E0BEE" w:rsidRPr="003E0BEE">
              <w:rPr>
                <w:rFonts w:ascii="Book Antiqua" w:eastAsia="Times New Roman" w:hAnsi="Book Antiqua"/>
                <w:color w:val="C45911" w:themeColor="accent2" w:themeShade="BF"/>
              </w:rPr>
              <w:br/>
            </w:r>
            <w:r w:rsidR="003E0BEE" w:rsidRPr="00314AAE">
              <w:rPr>
                <w:rFonts w:ascii="Book Antiqua" w:eastAsia="Times New Roman" w:hAnsi="Book Antiqua"/>
                <w:color w:val="C45911" w:themeColor="accent2" w:themeShade="BF"/>
                <w:sz w:val="16"/>
                <w:szCs w:val="16"/>
              </w:rPr>
              <w:t xml:space="preserve">Full </w:t>
            </w:r>
            <w:proofErr w:type="spellStart"/>
            <w:r w:rsidR="003E0BEE" w:rsidRPr="00314AAE">
              <w:rPr>
                <w:rFonts w:ascii="Book Antiqua" w:eastAsia="Times New Roman" w:hAnsi="Book Antiqua"/>
                <w:color w:val="C45911" w:themeColor="accent2" w:themeShade="BF"/>
                <w:sz w:val="16"/>
                <w:szCs w:val="16"/>
              </w:rPr>
              <w:t>text</w:t>
            </w:r>
            <w:proofErr w:type="spellEnd"/>
            <w:r w:rsidR="003E0BEE" w:rsidRPr="00314AAE">
              <w:rPr>
                <w:rFonts w:ascii="Book Antiqua" w:eastAsia="Times New Roman" w:hAnsi="Book Antiqua"/>
                <w:color w:val="C45911" w:themeColor="accent2" w:themeShade="BF"/>
                <w:sz w:val="16"/>
                <w:szCs w:val="16"/>
              </w:rPr>
              <w:t xml:space="preserve"> </w:t>
            </w:r>
            <w:proofErr w:type="spellStart"/>
            <w:r w:rsidR="003E0BEE" w:rsidRPr="00314AAE">
              <w:rPr>
                <w:rFonts w:ascii="Book Antiqua" w:eastAsia="Times New Roman" w:hAnsi="Book Antiqua"/>
                <w:color w:val="C45911" w:themeColor="accent2" w:themeShade="BF"/>
                <w:sz w:val="16"/>
                <w:szCs w:val="16"/>
              </w:rPr>
              <w:t>article</w:t>
            </w:r>
            <w:proofErr w:type="spellEnd"/>
          </w:p>
        </w:tc>
        <w:tc>
          <w:tcPr>
            <w:tcW w:w="2410" w:type="dxa"/>
            <w:tcBorders>
              <w:bottom w:val="thinThickSmallGap" w:sz="24" w:space="0" w:color="C45911" w:themeColor="accent2" w:themeShade="BF"/>
            </w:tcBorders>
          </w:tcPr>
          <w:p w14:paraId="5CC18FEF" w14:textId="77777777" w:rsidR="000C3BA7" w:rsidRDefault="000C3BA7" w:rsidP="008C2933">
            <w:pPr>
              <w:spacing w:line="20" w:lineRule="exact"/>
              <w:rPr>
                <w:rFonts w:ascii="Book Antiqua" w:eastAsia="Times New Roman" w:hAnsi="Book Antiqua"/>
                <w:sz w:val="24"/>
              </w:rPr>
            </w:pPr>
          </w:p>
          <w:p w14:paraId="39194B7B" w14:textId="39160010" w:rsidR="003E0BEE" w:rsidRPr="003E0BEE" w:rsidRDefault="003E0BEE" w:rsidP="00314AAE">
            <w:pPr>
              <w:jc w:val="center"/>
              <w:rPr>
                <w:rFonts w:ascii="Book Antiqua" w:eastAsia="Times New Roman" w:hAnsi="Book Antiqua"/>
                <w:b/>
                <w:bCs/>
              </w:rPr>
            </w:pPr>
            <w:r w:rsidRPr="003E0BEE">
              <w:rPr>
                <w:rFonts w:ascii="Book Antiqua" w:eastAsia="Times New Roman" w:hAnsi="Book Antiqua"/>
                <w:b/>
                <w:bCs/>
                <w:color w:val="C45911" w:themeColor="accent2" w:themeShade="BF"/>
              </w:rPr>
              <w:t>www.ridrom.uclm.es</w:t>
            </w:r>
          </w:p>
        </w:tc>
      </w:tr>
      <w:tr w:rsidR="00192159" w14:paraId="584FF96A" w14:textId="77777777" w:rsidTr="00844DEE">
        <w:trPr>
          <w:trHeight w:val="489"/>
        </w:trPr>
        <w:tc>
          <w:tcPr>
            <w:tcW w:w="4890" w:type="dxa"/>
            <w:gridSpan w:val="2"/>
            <w:tcBorders>
              <w:top w:val="thinThickSmallGap" w:sz="24" w:space="0" w:color="C45911" w:themeColor="accent2" w:themeShade="BF"/>
              <w:bottom w:val="single" w:sz="12" w:space="0" w:color="auto"/>
              <w:right w:val="single" w:sz="12" w:space="0" w:color="auto"/>
            </w:tcBorders>
          </w:tcPr>
          <w:p w14:paraId="113D347F" w14:textId="77777777" w:rsidR="00192159" w:rsidRDefault="00192159" w:rsidP="008C2933">
            <w:pPr>
              <w:spacing w:line="20" w:lineRule="exact"/>
              <w:rPr>
                <w:rFonts w:ascii="Book Antiqua" w:eastAsia="Times New Roman" w:hAnsi="Book Antiqua"/>
                <w:sz w:val="24"/>
              </w:rPr>
            </w:pPr>
          </w:p>
          <w:p w14:paraId="20F18DCC" w14:textId="16373F2F" w:rsidR="00192159" w:rsidRPr="00314AAE" w:rsidRDefault="00192159" w:rsidP="00314AAE">
            <w:pPr>
              <w:jc w:val="center"/>
              <w:rPr>
                <w:rFonts w:ascii="Book Antiqua" w:eastAsia="Times New Roman" w:hAnsi="Book Antiqua"/>
                <w:sz w:val="16"/>
                <w:szCs w:val="16"/>
              </w:rPr>
            </w:pPr>
            <w:r w:rsidRPr="00314AAE">
              <w:rPr>
                <w:rFonts w:ascii="Book Antiqua" w:eastAsia="Times New Roman" w:hAnsi="Book Antiqua"/>
                <w:b/>
                <w:bCs/>
                <w:sz w:val="16"/>
                <w:szCs w:val="16"/>
              </w:rPr>
              <w:t>Fecha de recepción:</w:t>
            </w:r>
            <w:r w:rsidRPr="00314AAE">
              <w:rPr>
                <w:rFonts w:ascii="Book Antiqua" w:eastAsia="Times New Roman" w:hAnsi="Book Antiqua"/>
                <w:sz w:val="16"/>
                <w:szCs w:val="16"/>
              </w:rPr>
              <w:br/>
            </w:r>
            <w:r w:rsidR="00832FAA">
              <w:rPr>
                <w:rFonts w:ascii="Book Antiqua" w:eastAsia="Times New Roman" w:hAnsi="Book Antiqua"/>
                <w:sz w:val="16"/>
                <w:szCs w:val="16"/>
              </w:rPr>
              <w:t>1</w:t>
            </w:r>
            <w:r w:rsidR="00A8381C">
              <w:rPr>
                <w:rFonts w:ascii="Book Antiqua" w:eastAsia="Times New Roman" w:hAnsi="Book Antiqua"/>
                <w:sz w:val="16"/>
                <w:szCs w:val="16"/>
              </w:rPr>
              <w:t>3</w:t>
            </w:r>
            <w:r w:rsidRPr="00314AAE">
              <w:rPr>
                <w:rFonts w:ascii="Book Antiqua" w:eastAsia="Times New Roman" w:hAnsi="Book Antiqua"/>
                <w:sz w:val="16"/>
                <w:szCs w:val="16"/>
              </w:rPr>
              <w:t>/</w:t>
            </w:r>
            <w:r w:rsidR="00C77A48">
              <w:rPr>
                <w:rFonts w:ascii="Book Antiqua" w:eastAsia="Times New Roman" w:hAnsi="Book Antiqua"/>
                <w:sz w:val="16"/>
                <w:szCs w:val="16"/>
              </w:rPr>
              <w:t>0</w:t>
            </w:r>
            <w:r w:rsidR="00A8381C">
              <w:rPr>
                <w:rFonts w:ascii="Book Antiqua" w:eastAsia="Times New Roman" w:hAnsi="Book Antiqua"/>
                <w:sz w:val="16"/>
                <w:szCs w:val="16"/>
              </w:rPr>
              <w:t>9</w:t>
            </w:r>
            <w:r w:rsidRPr="00314AAE">
              <w:rPr>
                <w:rFonts w:ascii="Book Antiqua" w:eastAsia="Times New Roman" w:hAnsi="Book Antiqua"/>
                <w:sz w:val="16"/>
                <w:szCs w:val="16"/>
              </w:rPr>
              <w:t>/20</w:t>
            </w:r>
            <w:r w:rsidR="006B2DB9">
              <w:rPr>
                <w:rFonts w:ascii="Book Antiqua" w:eastAsia="Times New Roman" w:hAnsi="Book Antiqua"/>
                <w:sz w:val="16"/>
                <w:szCs w:val="16"/>
              </w:rPr>
              <w:t>2</w:t>
            </w:r>
            <w:r w:rsidR="00C77A48">
              <w:rPr>
                <w:rFonts w:ascii="Book Antiqua" w:eastAsia="Times New Roman" w:hAnsi="Book Antiqua"/>
                <w:sz w:val="16"/>
                <w:szCs w:val="16"/>
              </w:rPr>
              <w:t>1</w:t>
            </w:r>
          </w:p>
        </w:tc>
        <w:tc>
          <w:tcPr>
            <w:tcW w:w="4891" w:type="dxa"/>
            <w:gridSpan w:val="2"/>
            <w:tcBorders>
              <w:left w:val="single" w:sz="12" w:space="0" w:color="auto"/>
              <w:bottom w:val="single" w:sz="12" w:space="0" w:color="auto"/>
            </w:tcBorders>
          </w:tcPr>
          <w:p w14:paraId="652429E7" w14:textId="58391543" w:rsidR="00192159" w:rsidRDefault="00192159" w:rsidP="008C2933">
            <w:pPr>
              <w:spacing w:line="20" w:lineRule="exact"/>
              <w:rPr>
                <w:rFonts w:ascii="Book Antiqua" w:eastAsia="Times New Roman" w:hAnsi="Book Antiqua"/>
                <w:sz w:val="24"/>
              </w:rPr>
            </w:pPr>
          </w:p>
          <w:p w14:paraId="20D9A307" w14:textId="547F55DC" w:rsidR="00192159" w:rsidRPr="00314AAE" w:rsidRDefault="00192159" w:rsidP="00314AAE">
            <w:pPr>
              <w:jc w:val="center"/>
              <w:rPr>
                <w:rFonts w:ascii="Book Antiqua" w:eastAsia="Times New Roman" w:hAnsi="Book Antiqua"/>
                <w:sz w:val="16"/>
                <w:szCs w:val="16"/>
              </w:rPr>
            </w:pPr>
            <w:r w:rsidRPr="00314AAE">
              <w:rPr>
                <w:rFonts w:ascii="Book Antiqua" w:eastAsia="Times New Roman" w:hAnsi="Book Antiqua"/>
                <w:b/>
                <w:bCs/>
                <w:sz w:val="16"/>
                <w:szCs w:val="16"/>
              </w:rPr>
              <w:t>Fecha de aceptación:</w:t>
            </w:r>
            <w:r w:rsidRPr="00314AAE">
              <w:rPr>
                <w:rFonts w:ascii="Book Antiqua" w:eastAsia="Times New Roman" w:hAnsi="Book Antiqua"/>
                <w:sz w:val="16"/>
                <w:szCs w:val="16"/>
              </w:rPr>
              <w:br/>
            </w:r>
            <w:r w:rsidR="0026463A">
              <w:rPr>
                <w:rFonts w:ascii="Book Antiqua" w:eastAsia="Times New Roman" w:hAnsi="Book Antiqua"/>
                <w:sz w:val="16"/>
                <w:szCs w:val="16"/>
              </w:rPr>
              <w:t>2</w:t>
            </w:r>
            <w:r w:rsidR="003D2B7F">
              <w:rPr>
                <w:rFonts w:ascii="Book Antiqua" w:eastAsia="Times New Roman" w:hAnsi="Book Antiqua"/>
                <w:sz w:val="16"/>
                <w:szCs w:val="16"/>
              </w:rPr>
              <w:t>0</w:t>
            </w:r>
            <w:r w:rsidRPr="00314AAE">
              <w:rPr>
                <w:rFonts w:ascii="Book Antiqua" w:eastAsia="Times New Roman" w:hAnsi="Book Antiqua"/>
                <w:sz w:val="16"/>
                <w:szCs w:val="16"/>
              </w:rPr>
              <w:t>/</w:t>
            </w:r>
            <w:r w:rsidR="00A8381C">
              <w:rPr>
                <w:rFonts w:ascii="Book Antiqua" w:eastAsia="Times New Roman" w:hAnsi="Book Antiqua"/>
                <w:sz w:val="16"/>
                <w:szCs w:val="16"/>
              </w:rPr>
              <w:t>10</w:t>
            </w:r>
            <w:r w:rsidRPr="00314AAE">
              <w:rPr>
                <w:rFonts w:ascii="Book Antiqua" w:eastAsia="Times New Roman" w:hAnsi="Book Antiqua"/>
                <w:sz w:val="16"/>
                <w:szCs w:val="16"/>
              </w:rPr>
              <w:t>/20</w:t>
            </w:r>
            <w:r w:rsidR="006B2DB9">
              <w:rPr>
                <w:rFonts w:ascii="Book Antiqua" w:eastAsia="Times New Roman" w:hAnsi="Book Antiqua"/>
                <w:sz w:val="16"/>
                <w:szCs w:val="16"/>
              </w:rPr>
              <w:t>2</w:t>
            </w:r>
            <w:r w:rsidR="001D2E9D">
              <w:rPr>
                <w:rFonts w:ascii="Book Antiqua" w:eastAsia="Times New Roman" w:hAnsi="Book Antiqua"/>
                <w:sz w:val="16"/>
                <w:szCs w:val="16"/>
              </w:rPr>
              <w:t>1</w:t>
            </w:r>
          </w:p>
        </w:tc>
      </w:tr>
      <w:tr w:rsidR="00192159" w14:paraId="6722E2BC" w14:textId="77777777" w:rsidTr="00844DEE">
        <w:trPr>
          <w:trHeight w:val="489"/>
        </w:trPr>
        <w:tc>
          <w:tcPr>
            <w:tcW w:w="4890" w:type="dxa"/>
            <w:gridSpan w:val="2"/>
            <w:tcBorders>
              <w:top w:val="single" w:sz="12" w:space="0" w:color="auto"/>
              <w:bottom w:val="single" w:sz="12" w:space="0" w:color="auto"/>
              <w:right w:val="single" w:sz="12" w:space="0" w:color="auto"/>
            </w:tcBorders>
          </w:tcPr>
          <w:p w14:paraId="73F616D4" w14:textId="77777777" w:rsidR="00192159" w:rsidRDefault="00192159" w:rsidP="008C2933">
            <w:pPr>
              <w:spacing w:line="20" w:lineRule="exact"/>
              <w:rPr>
                <w:rFonts w:ascii="Book Antiqua" w:eastAsia="Times New Roman" w:hAnsi="Book Antiqua"/>
                <w:sz w:val="24"/>
              </w:rPr>
            </w:pPr>
          </w:p>
          <w:p w14:paraId="30A9CA1D" w14:textId="28295B1F" w:rsidR="00192159" w:rsidRPr="00192159" w:rsidRDefault="00192159" w:rsidP="00192159">
            <w:pPr>
              <w:jc w:val="center"/>
              <w:rPr>
                <w:rFonts w:ascii="Book Antiqua" w:eastAsia="Times New Roman" w:hAnsi="Book Antiqua"/>
                <w:sz w:val="24"/>
              </w:rPr>
            </w:pPr>
            <w:r w:rsidRPr="004D64E8">
              <w:rPr>
                <w:rFonts w:ascii="Book Antiqua" w:eastAsia="Times New Roman" w:hAnsi="Book Antiqua"/>
                <w:b/>
                <w:bCs/>
                <w:sz w:val="16"/>
                <w:szCs w:val="16"/>
              </w:rPr>
              <w:t>Palabras clave:</w:t>
            </w:r>
            <w:r w:rsidRPr="004D64E8">
              <w:rPr>
                <w:rFonts w:ascii="Book Antiqua" w:eastAsia="Times New Roman" w:hAnsi="Book Antiqua"/>
                <w:sz w:val="16"/>
                <w:szCs w:val="16"/>
              </w:rPr>
              <w:br/>
            </w:r>
            <w:r w:rsidR="008D76D4" w:rsidRPr="008D76D4">
              <w:rPr>
                <w:rFonts w:ascii="Book Antiqua" w:eastAsia="Times New Roman" w:hAnsi="Book Antiqua"/>
                <w:bCs/>
                <w:i/>
                <w:iCs/>
                <w:sz w:val="16"/>
                <w:szCs w:val="16"/>
              </w:rPr>
              <w:t xml:space="preserve">Competencia judicial UE; Reglamentos UE-Derecho romano; </w:t>
            </w:r>
            <w:proofErr w:type="spellStart"/>
            <w:r w:rsidR="008D76D4" w:rsidRPr="008D76D4">
              <w:rPr>
                <w:rFonts w:ascii="Book Antiqua" w:eastAsia="Times New Roman" w:hAnsi="Book Antiqua"/>
                <w:bCs/>
                <w:i/>
                <w:iCs/>
                <w:sz w:val="16"/>
                <w:szCs w:val="16"/>
              </w:rPr>
              <w:t>forum</w:t>
            </w:r>
            <w:proofErr w:type="spellEnd"/>
            <w:r w:rsidR="008D76D4" w:rsidRPr="008D76D4">
              <w:rPr>
                <w:rFonts w:ascii="Book Antiqua" w:eastAsia="Times New Roman" w:hAnsi="Book Antiqua"/>
                <w:bCs/>
                <w:i/>
                <w:iCs/>
                <w:sz w:val="16"/>
                <w:szCs w:val="16"/>
              </w:rPr>
              <w:t xml:space="preserve"> </w:t>
            </w:r>
            <w:proofErr w:type="spellStart"/>
            <w:r w:rsidR="008D76D4" w:rsidRPr="008D76D4">
              <w:rPr>
                <w:rFonts w:ascii="Book Antiqua" w:eastAsia="Times New Roman" w:hAnsi="Book Antiqua"/>
                <w:bCs/>
                <w:i/>
                <w:iCs/>
                <w:sz w:val="16"/>
                <w:szCs w:val="16"/>
              </w:rPr>
              <w:t>domicilii</w:t>
            </w:r>
            <w:proofErr w:type="spellEnd"/>
            <w:r w:rsidR="008D76D4" w:rsidRPr="008D76D4">
              <w:rPr>
                <w:rFonts w:ascii="Book Antiqua" w:eastAsia="Times New Roman" w:hAnsi="Book Antiqua"/>
                <w:bCs/>
                <w:i/>
                <w:iCs/>
                <w:sz w:val="16"/>
                <w:szCs w:val="16"/>
              </w:rPr>
              <w:t xml:space="preserve"> y UE</w:t>
            </w:r>
            <w:r w:rsidR="005861EB" w:rsidRPr="005861EB">
              <w:rPr>
                <w:rFonts w:ascii="Book Antiqua" w:eastAsia="Times New Roman" w:hAnsi="Book Antiqua"/>
                <w:i/>
                <w:iCs/>
                <w:sz w:val="16"/>
                <w:szCs w:val="16"/>
              </w:rPr>
              <w:t>.</w:t>
            </w:r>
          </w:p>
        </w:tc>
        <w:tc>
          <w:tcPr>
            <w:tcW w:w="4891" w:type="dxa"/>
            <w:gridSpan w:val="2"/>
            <w:tcBorders>
              <w:top w:val="single" w:sz="12" w:space="0" w:color="auto"/>
              <w:left w:val="single" w:sz="12" w:space="0" w:color="auto"/>
              <w:bottom w:val="single" w:sz="12" w:space="0" w:color="auto"/>
            </w:tcBorders>
          </w:tcPr>
          <w:p w14:paraId="327E9069" w14:textId="77777777" w:rsidR="00192159" w:rsidRDefault="00192159" w:rsidP="008C2933">
            <w:pPr>
              <w:spacing w:line="20" w:lineRule="exact"/>
              <w:rPr>
                <w:rFonts w:ascii="Book Antiqua" w:eastAsia="Times New Roman" w:hAnsi="Book Antiqua"/>
                <w:sz w:val="24"/>
              </w:rPr>
            </w:pPr>
          </w:p>
          <w:p w14:paraId="6F2B31D0" w14:textId="30BA8848" w:rsidR="00192159" w:rsidRPr="00192159" w:rsidRDefault="00192159" w:rsidP="00192159">
            <w:pPr>
              <w:tabs>
                <w:tab w:val="left" w:pos="2820"/>
              </w:tabs>
              <w:jc w:val="center"/>
              <w:rPr>
                <w:rFonts w:ascii="Book Antiqua" w:eastAsia="Times New Roman" w:hAnsi="Book Antiqua"/>
                <w:sz w:val="24"/>
              </w:rPr>
            </w:pPr>
            <w:proofErr w:type="spellStart"/>
            <w:r w:rsidRPr="004D64E8">
              <w:rPr>
                <w:rFonts w:ascii="Book Antiqua" w:eastAsia="Times New Roman" w:hAnsi="Book Antiqua"/>
                <w:b/>
                <w:bCs/>
                <w:sz w:val="16"/>
                <w:szCs w:val="16"/>
              </w:rPr>
              <w:t>Keywords</w:t>
            </w:r>
            <w:proofErr w:type="spellEnd"/>
            <w:r w:rsidRPr="004D64E8">
              <w:rPr>
                <w:rFonts w:ascii="Book Antiqua" w:eastAsia="Times New Roman" w:hAnsi="Book Antiqua"/>
                <w:b/>
                <w:bCs/>
                <w:sz w:val="16"/>
                <w:szCs w:val="16"/>
              </w:rPr>
              <w:t>:</w:t>
            </w:r>
            <w:r w:rsidRPr="004D64E8">
              <w:rPr>
                <w:rFonts w:ascii="Book Antiqua" w:eastAsia="Times New Roman" w:hAnsi="Book Antiqua"/>
                <w:sz w:val="16"/>
                <w:szCs w:val="16"/>
              </w:rPr>
              <w:br/>
            </w:r>
            <w:r w:rsidR="00C56FA9" w:rsidRPr="00C56FA9">
              <w:rPr>
                <w:rFonts w:ascii="Book Antiqua" w:eastAsia="Times New Roman" w:hAnsi="Book Antiqua"/>
                <w:i/>
                <w:iCs/>
                <w:sz w:val="16"/>
                <w:szCs w:val="16"/>
                <w:lang w:val="en-GB"/>
              </w:rPr>
              <w:t xml:space="preserve">EU competence courts; EU Regulation; Roman Law, forum </w:t>
            </w:r>
            <w:proofErr w:type="spellStart"/>
            <w:r w:rsidR="00C56FA9" w:rsidRPr="00C56FA9">
              <w:rPr>
                <w:rFonts w:ascii="Book Antiqua" w:eastAsia="Times New Roman" w:hAnsi="Book Antiqua"/>
                <w:i/>
                <w:iCs/>
                <w:sz w:val="16"/>
                <w:szCs w:val="16"/>
                <w:lang w:val="en-GB"/>
              </w:rPr>
              <w:t>domicilii</w:t>
            </w:r>
            <w:proofErr w:type="spellEnd"/>
            <w:r w:rsidR="00C56FA9" w:rsidRPr="00C56FA9">
              <w:rPr>
                <w:rFonts w:ascii="Book Antiqua" w:eastAsia="Times New Roman" w:hAnsi="Book Antiqua"/>
                <w:i/>
                <w:iCs/>
                <w:sz w:val="16"/>
                <w:szCs w:val="16"/>
                <w:lang w:val="en-GB"/>
              </w:rPr>
              <w:t>, European Union</w:t>
            </w:r>
            <w:r w:rsidR="007A4642" w:rsidRPr="007A4642">
              <w:rPr>
                <w:rFonts w:ascii="Book Antiqua" w:eastAsia="Times New Roman" w:hAnsi="Book Antiqua"/>
                <w:sz w:val="16"/>
                <w:szCs w:val="16"/>
                <w:lang w:val="en-US"/>
              </w:rPr>
              <w:t>.</w:t>
            </w:r>
          </w:p>
        </w:tc>
      </w:tr>
      <w:tr w:rsidR="00192159" w14:paraId="571710AE" w14:textId="77777777" w:rsidTr="008D12F6">
        <w:trPr>
          <w:trHeight w:val="437"/>
        </w:trPr>
        <w:tc>
          <w:tcPr>
            <w:tcW w:w="9781" w:type="dxa"/>
            <w:gridSpan w:val="4"/>
            <w:tcBorders>
              <w:top w:val="single" w:sz="12" w:space="0" w:color="auto"/>
            </w:tcBorders>
          </w:tcPr>
          <w:p w14:paraId="1027DE21" w14:textId="77777777" w:rsidR="00192159" w:rsidRDefault="00192159" w:rsidP="008C2933">
            <w:pPr>
              <w:spacing w:line="20" w:lineRule="exact"/>
              <w:rPr>
                <w:rFonts w:ascii="Book Antiqua" w:eastAsia="Times New Roman" w:hAnsi="Book Antiqua"/>
                <w:sz w:val="24"/>
              </w:rPr>
            </w:pPr>
          </w:p>
          <w:p w14:paraId="56676192" w14:textId="64815547" w:rsidR="00807CD5" w:rsidRPr="00807CD5" w:rsidRDefault="00807CD5" w:rsidP="00807CD5">
            <w:pPr>
              <w:jc w:val="center"/>
              <w:rPr>
                <w:rFonts w:ascii="Book Antiqua" w:eastAsia="Times New Roman" w:hAnsi="Book Antiqua"/>
                <w:sz w:val="24"/>
              </w:rPr>
            </w:pPr>
            <w:r>
              <w:rPr>
                <w:noProof/>
              </w:rPr>
              <w:drawing>
                <wp:inline distT="0" distB="0" distL="0" distR="0" wp14:anchorId="50B174F6" wp14:editId="6097A836">
                  <wp:extent cx="647700" cy="228167"/>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96" cy="234013"/>
                          </a:xfrm>
                          <a:prstGeom prst="rect">
                            <a:avLst/>
                          </a:prstGeom>
                          <a:noFill/>
                          <a:ln>
                            <a:noFill/>
                          </a:ln>
                        </pic:spPr>
                      </pic:pic>
                    </a:graphicData>
                  </a:graphic>
                </wp:inline>
              </w:drawing>
            </w:r>
          </w:p>
        </w:tc>
      </w:tr>
      <w:tr w:rsidR="00192159" w14:paraId="153AE897" w14:textId="77777777" w:rsidTr="006B2DB9">
        <w:trPr>
          <w:trHeight w:val="9773"/>
        </w:trPr>
        <w:tc>
          <w:tcPr>
            <w:tcW w:w="9781" w:type="dxa"/>
            <w:gridSpan w:val="4"/>
          </w:tcPr>
          <w:p w14:paraId="455EF296" w14:textId="77777777" w:rsidR="00192159" w:rsidRDefault="00192159" w:rsidP="008C2933">
            <w:pPr>
              <w:spacing w:line="20" w:lineRule="exact"/>
              <w:rPr>
                <w:rFonts w:ascii="Book Antiqua" w:eastAsia="Times New Roman" w:hAnsi="Book Antiqua"/>
                <w:sz w:val="24"/>
              </w:rPr>
            </w:pPr>
          </w:p>
          <w:p w14:paraId="576FECAF" w14:textId="77777777" w:rsidR="00192159" w:rsidRDefault="00192159" w:rsidP="008C2933">
            <w:pPr>
              <w:spacing w:line="20" w:lineRule="exact"/>
              <w:rPr>
                <w:rFonts w:ascii="Book Antiqua" w:eastAsia="Times New Roman" w:hAnsi="Book Antiqua"/>
                <w:sz w:val="24"/>
              </w:rPr>
            </w:pPr>
          </w:p>
          <w:p w14:paraId="23F767C1" w14:textId="77777777" w:rsidR="00192159" w:rsidRDefault="00192159" w:rsidP="004D64E8">
            <w:pPr>
              <w:jc w:val="center"/>
              <w:rPr>
                <w:rFonts w:ascii="Book Antiqua" w:eastAsia="Times New Roman" w:hAnsi="Book Antiqua"/>
                <w:b/>
                <w:bCs/>
                <w:sz w:val="24"/>
                <w:lang w:val="es-ES_tradnl"/>
              </w:rPr>
            </w:pPr>
          </w:p>
          <w:p w14:paraId="7C9AE244" w14:textId="3FABB01B" w:rsidR="005861EB" w:rsidRPr="003D1540" w:rsidRDefault="009F49DE" w:rsidP="005861EB">
            <w:pPr>
              <w:jc w:val="center"/>
              <w:rPr>
                <w:rFonts w:ascii="Book Antiqua" w:hAnsi="Book Antiqua"/>
                <w:b/>
                <w:bCs/>
                <w:sz w:val="24"/>
                <w:szCs w:val="24"/>
              </w:rPr>
            </w:pPr>
            <w:r w:rsidRPr="009F49DE">
              <w:rPr>
                <w:rFonts w:ascii="Book Antiqua" w:hAnsi="Book Antiqua"/>
                <w:b/>
                <w:bCs/>
                <w:sz w:val="24"/>
                <w:szCs w:val="24"/>
              </w:rPr>
              <w:t>EVOLUCIÓN DE LOS FUEROS JURISDICCIONALES ROMANOS EN LA PRÁCTICA LEGISLATIVA Y JURISPRUDENCIAL DE LA UE EN EL SIGLO XXI</w:t>
            </w:r>
          </w:p>
          <w:p w14:paraId="5CE7334D" w14:textId="77777777" w:rsidR="005861EB" w:rsidRPr="00944554" w:rsidRDefault="005861EB" w:rsidP="005861EB">
            <w:pPr>
              <w:jc w:val="center"/>
              <w:rPr>
                <w:rFonts w:ascii="Book Antiqua" w:hAnsi="Book Antiqua"/>
                <w:b/>
                <w:bCs/>
                <w:sz w:val="24"/>
                <w:szCs w:val="24"/>
              </w:rPr>
            </w:pPr>
          </w:p>
          <w:p w14:paraId="2CA800B1" w14:textId="3A4AED57" w:rsidR="005861EB" w:rsidRPr="003D1540" w:rsidRDefault="009F49DE" w:rsidP="005861EB">
            <w:pPr>
              <w:jc w:val="center"/>
              <w:rPr>
                <w:rFonts w:ascii="Book Antiqua" w:hAnsi="Book Antiqua"/>
                <w:b/>
                <w:bCs/>
                <w:sz w:val="24"/>
                <w:szCs w:val="24"/>
              </w:rPr>
            </w:pPr>
            <w:r w:rsidRPr="009F49DE">
              <w:rPr>
                <w:rFonts w:ascii="Book Antiqua" w:hAnsi="Book Antiqua"/>
                <w:b/>
                <w:bCs/>
                <w:sz w:val="24"/>
                <w:szCs w:val="24"/>
                <w:lang w:val="en-GB"/>
              </w:rPr>
              <w:t>EVOLUTION OF ROMAN JURISDICTION RULES IN THE EU LEGISLATIVE AND CASE LAW PRACTICE IN THE XXI CENTURY</w:t>
            </w:r>
          </w:p>
          <w:p w14:paraId="442F5979" w14:textId="77777777" w:rsidR="005861EB" w:rsidRDefault="005861EB" w:rsidP="005861EB">
            <w:pPr>
              <w:jc w:val="both"/>
              <w:rPr>
                <w:i/>
                <w:iCs/>
              </w:rPr>
            </w:pPr>
          </w:p>
          <w:p w14:paraId="67884242" w14:textId="70093E5C" w:rsidR="005861EB" w:rsidRPr="00901D1F" w:rsidRDefault="008645FD" w:rsidP="005861EB">
            <w:pPr>
              <w:jc w:val="center"/>
              <w:rPr>
                <w:rFonts w:ascii="Book Antiqua" w:hAnsi="Book Antiqua" w:cstheme="minorHAnsi"/>
                <w:b/>
                <w:bCs/>
                <w:sz w:val="24"/>
                <w:szCs w:val="24"/>
              </w:rPr>
            </w:pPr>
            <w:r>
              <w:rPr>
                <w:rFonts w:ascii="Book Antiqua" w:hAnsi="Book Antiqua" w:cstheme="minorHAnsi"/>
                <w:b/>
                <w:bCs/>
                <w:sz w:val="24"/>
                <w:szCs w:val="24"/>
              </w:rPr>
              <w:t>Juan Ramón Robles</w:t>
            </w:r>
          </w:p>
          <w:p w14:paraId="7162CCDE" w14:textId="58E16E96" w:rsidR="005861EB" w:rsidRPr="00901D1F" w:rsidRDefault="002C431C" w:rsidP="005861EB">
            <w:pPr>
              <w:jc w:val="center"/>
              <w:rPr>
                <w:rFonts w:ascii="Book Antiqua" w:hAnsi="Book Antiqua" w:cstheme="minorHAnsi"/>
              </w:rPr>
            </w:pPr>
            <w:r>
              <w:rPr>
                <w:rFonts w:ascii="Book Antiqua" w:hAnsi="Book Antiqua" w:cstheme="minorHAnsi"/>
              </w:rPr>
              <w:t>Profesor</w:t>
            </w:r>
            <w:r w:rsidR="008645FD">
              <w:rPr>
                <w:rFonts w:ascii="Book Antiqua" w:hAnsi="Book Antiqua" w:cstheme="minorHAnsi"/>
              </w:rPr>
              <w:t xml:space="preserve"> Contratado Doctor</w:t>
            </w:r>
            <w:r w:rsidR="005861EB" w:rsidRPr="00901D1F">
              <w:rPr>
                <w:rFonts w:ascii="Book Antiqua" w:hAnsi="Book Antiqua" w:cstheme="minorHAnsi"/>
              </w:rPr>
              <w:t xml:space="preserve"> de Derecho Romano</w:t>
            </w:r>
          </w:p>
          <w:p w14:paraId="765A5A41" w14:textId="08886A27" w:rsidR="005861EB" w:rsidRPr="00901D1F" w:rsidRDefault="005861EB" w:rsidP="005861EB">
            <w:pPr>
              <w:jc w:val="center"/>
              <w:rPr>
                <w:rFonts w:ascii="Book Antiqua" w:hAnsi="Book Antiqua" w:cstheme="minorHAnsi"/>
              </w:rPr>
            </w:pPr>
            <w:r w:rsidRPr="00901D1F">
              <w:rPr>
                <w:rFonts w:ascii="Book Antiqua" w:hAnsi="Book Antiqua" w:cstheme="minorHAnsi"/>
              </w:rPr>
              <w:t xml:space="preserve">Universidad </w:t>
            </w:r>
            <w:r w:rsidR="008645FD">
              <w:rPr>
                <w:rFonts w:ascii="Book Antiqua" w:hAnsi="Book Antiqua" w:cstheme="minorHAnsi"/>
              </w:rPr>
              <w:t>de Murcia</w:t>
            </w:r>
          </w:p>
          <w:p w14:paraId="03456854" w14:textId="699E8356" w:rsidR="005861EB" w:rsidRPr="00901D1F" w:rsidRDefault="00AB63CF" w:rsidP="005861EB">
            <w:pPr>
              <w:jc w:val="center"/>
              <w:rPr>
                <w:rFonts w:ascii="Book Antiqua" w:hAnsi="Book Antiqua" w:cstheme="minorHAnsi"/>
              </w:rPr>
            </w:pPr>
            <w:hyperlink r:id="rId10" w:history="1">
              <w:r w:rsidR="008645FD" w:rsidRPr="00A7056C">
                <w:rPr>
                  <w:rStyle w:val="Hipervnculo"/>
                  <w:rFonts w:ascii="Book Antiqua" w:eastAsia="Times New Roman" w:hAnsi="Book Antiqua"/>
                </w:rPr>
                <w:t>jrrobles@um.es</w:t>
              </w:r>
            </w:hyperlink>
            <w:r w:rsidR="008645FD">
              <w:rPr>
                <w:rStyle w:val="Hipervnculo"/>
                <w:rFonts w:ascii="Book Antiqua" w:eastAsia="Times New Roman" w:hAnsi="Book Antiqua"/>
              </w:rPr>
              <w:t xml:space="preserve"> </w:t>
            </w:r>
            <w:r w:rsidR="003D1540">
              <w:rPr>
                <w:rFonts w:ascii="Book Antiqua" w:hAnsi="Book Antiqua"/>
              </w:rPr>
              <w:t xml:space="preserve"> </w:t>
            </w:r>
          </w:p>
          <w:p w14:paraId="4FF86FA1" w14:textId="36171D51" w:rsidR="00736DB9" w:rsidRPr="00D82ABF" w:rsidRDefault="00D82ABF" w:rsidP="00736DB9">
            <w:pPr>
              <w:jc w:val="center"/>
              <w:rPr>
                <w:rFonts w:ascii="Book Antiqua" w:hAnsi="Book Antiqua"/>
                <w:bCs/>
              </w:rPr>
            </w:pPr>
            <w:proofErr w:type="spellStart"/>
            <w:r w:rsidRPr="00D82ABF">
              <w:rPr>
                <w:rFonts w:ascii="Book Antiqua" w:hAnsi="Book Antiqua"/>
              </w:rPr>
              <w:t>ORCID</w:t>
            </w:r>
            <w:proofErr w:type="spellEnd"/>
            <w:r w:rsidRPr="00D82ABF">
              <w:rPr>
                <w:rFonts w:ascii="Book Antiqua" w:hAnsi="Book Antiqua"/>
              </w:rPr>
              <w:t xml:space="preserve">: </w:t>
            </w:r>
            <w:r w:rsidRPr="00D82ABF">
              <w:rPr>
                <w:rFonts w:ascii="Book Antiqua" w:hAnsi="Book Antiqua"/>
                <w:bCs/>
              </w:rPr>
              <w:t>0000-0002-2686-8305</w:t>
            </w:r>
          </w:p>
          <w:p w14:paraId="2FCC6F43" w14:textId="77777777" w:rsidR="00D82ABF" w:rsidRPr="00C77BE9" w:rsidRDefault="00D82ABF" w:rsidP="00736DB9">
            <w:pPr>
              <w:jc w:val="center"/>
              <w:rPr>
                <w:rFonts w:ascii="Book Antiqua" w:hAnsi="Book Antiqua"/>
                <w:sz w:val="24"/>
                <w:szCs w:val="24"/>
              </w:rPr>
            </w:pPr>
          </w:p>
          <w:p w14:paraId="31664FE2" w14:textId="6222A69B" w:rsidR="00192159" w:rsidRPr="009E550B" w:rsidRDefault="00192159" w:rsidP="00672584">
            <w:pPr>
              <w:pStyle w:val="NormalWeb"/>
              <w:spacing w:before="0" w:beforeAutospacing="0" w:after="0" w:afterAutospacing="0"/>
              <w:jc w:val="center"/>
              <w:rPr>
                <w:rFonts w:ascii="Book Antiqua" w:hAnsi="Book Antiqua"/>
                <w:b/>
                <w:bCs/>
                <w:sz w:val="20"/>
                <w:szCs w:val="20"/>
              </w:rPr>
            </w:pPr>
            <w:r w:rsidRPr="009E550B">
              <w:rPr>
                <w:rFonts w:ascii="Book Antiqua" w:hAnsi="Book Antiqua"/>
                <w:b/>
                <w:bCs/>
                <w:color w:val="auto"/>
                <w:sz w:val="20"/>
                <w:szCs w:val="20"/>
              </w:rPr>
              <w:t>(</w:t>
            </w:r>
            <w:r w:rsidR="00866E34" w:rsidRPr="00866E34">
              <w:rPr>
                <w:rFonts w:ascii="Book Antiqua" w:hAnsi="Book Antiqua"/>
                <w:b/>
                <w:bCs/>
                <w:color w:val="auto"/>
                <w:sz w:val="20"/>
                <w:szCs w:val="20"/>
              </w:rPr>
              <w:t>ROBLES, Juan Ramón</w:t>
            </w:r>
            <w:r w:rsidRPr="009E550B">
              <w:rPr>
                <w:rFonts w:ascii="Book Antiqua" w:hAnsi="Book Antiqua"/>
                <w:b/>
                <w:bCs/>
                <w:color w:val="auto"/>
                <w:sz w:val="20"/>
                <w:szCs w:val="20"/>
              </w:rPr>
              <w:t xml:space="preserve">. </w:t>
            </w:r>
            <w:r w:rsidR="008645FD" w:rsidRPr="008645FD">
              <w:rPr>
                <w:rFonts w:ascii="Book Antiqua" w:hAnsi="Book Antiqua"/>
                <w:b/>
                <w:bCs/>
                <w:color w:val="auto"/>
                <w:sz w:val="20"/>
                <w:szCs w:val="20"/>
              </w:rPr>
              <w:t>Evolución de los fueros jurisdiccionales romanos en la práctica legislativa y jurisprudencial de la UE en el siglo XXI</w:t>
            </w:r>
            <w:r w:rsidRPr="009E550B">
              <w:rPr>
                <w:rFonts w:ascii="Book Antiqua" w:hAnsi="Book Antiqua"/>
                <w:b/>
                <w:bCs/>
                <w:color w:val="auto"/>
                <w:sz w:val="20"/>
                <w:szCs w:val="20"/>
              </w:rPr>
              <w:t>. RIDROM [</w:t>
            </w:r>
            <w:proofErr w:type="spellStart"/>
            <w:r w:rsidRPr="009E550B">
              <w:rPr>
                <w:rFonts w:ascii="Book Antiqua" w:hAnsi="Book Antiqua"/>
                <w:b/>
                <w:bCs/>
                <w:color w:val="auto"/>
                <w:sz w:val="20"/>
                <w:szCs w:val="20"/>
              </w:rPr>
              <w:t>on</w:t>
            </w:r>
            <w:proofErr w:type="spellEnd"/>
            <w:r w:rsidRPr="009E550B">
              <w:rPr>
                <w:rFonts w:ascii="Book Antiqua" w:hAnsi="Book Antiqua"/>
                <w:b/>
                <w:bCs/>
                <w:color w:val="auto"/>
                <w:sz w:val="20"/>
                <w:szCs w:val="20"/>
              </w:rPr>
              <w:t xml:space="preserve"> line]. 2</w:t>
            </w:r>
            <w:r w:rsidR="006E0898">
              <w:rPr>
                <w:rFonts w:ascii="Book Antiqua" w:hAnsi="Book Antiqua"/>
                <w:b/>
                <w:bCs/>
                <w:color w:val="auto"/>
                <w:sz w:val="20"/>
                <w:szCs w:val="20"/>
              </w:rPr>
              <w:t>7</w:t>
            </w:r>
            <w:r w:rsidRPr="009E550B">
              <w:rPr>
                <w:rFonts w:ascii="Book Antiqua" w:hAnsi="Book Antiqua"/>
                <w:b/>
                <w:bCs/>
                <w:color w:val="auto"/>
                <w:sz w:val="20"/>
                <w:szCs w:val="20"/>
              </w:rPr>
              <w:t>-20</w:t>
            </w:r>
            <w:r w:rsidR="00687DAD" w:rsidRPr="009E550B">
              <w:rPr>
                <w:rFonts w:ascii="Book Antiqua" w:hAnsi="Book Antiqua"/>
                <w:b/>
                <w:bCs/>
                <w:color w:val="auto"/>
                <w:sz w:val="20"/>
                <w:szCs w:val="20"/>
              </w:rPr>
              <w:t>2</w:t>
            </w:r>
            <w:r w:rsidR="00702159">
              <w:rPr>
                <w:rFonts w:ascii="Book Antiqua" w:hAnsi="Book Antiqua"/>
                <w:b/>
                <w:bCs/>
                <w:color w:val="auto"/>
                <w:sz w:val="20"/>
                <w:szCs w:val="20"/>
              </w:rPr>
              <w:t>1</w:t>
            </w:r>
            <w:r w:rsidRPr="009E550B">
              <w:rPr>
                <w:rFonts w:ascii="Book Antiqua" w:hAnsi="Book Antiqua"/>
                <w:b/>
                <w:bCs/>
                <w:color w:val="auto"/>
                <w:sz w:val="20"/>
                <w:szCs w:val="20"/>
              </w:rPr>
              <w:t xml:space="preserve">.  ISSN 1989-1970.  p. </w:t>
            </w:r>
            <w:r w:rsidR="00A8381C">
              <w:rPr>
                <w:rFonts w:ascii="Book Antiqua" w:hAnsi="Book Antiqua"/>
                <w:b/>
                <w:bCs/>
                <w:color w:val="auto"/>
                <w:sz w:val="20"/>
                <w:szCs w:val="20"/>
              </w:rPr>
              <w:t>237</w:t>
            </w:r>
            <w:r w:rsidRPr="009E550B">
              <w:rPr>
                <w:rFonts w:ascii="Book Antiqua" w:hAnsi="Book Antiqua"/>
                <w:b/>
                <w:bCs/>
                <w:color w:val="auto"/>
                <w:sz w:val="20"/>
                <w:szCs w:val="20"/>
              </w:rPr>
              <w:t>-</w:t>
            </w:r>
            <w:r w:rsidR="00A8381C">
              <w:rPr>
                <w:rFonts w:ascii="Book Antiqua" w:hAnsi="Book Antiqua"/>
                <w:b/>
                <w:bCs/>
                <w:color w:val="auto"/>
                <w:sz w:val="20"/>
                <w:szCs w:val="20"/>
              </w:rPr>
              <w:t>279</w:t>
            </w:r>
            <w:r w:rsidRPr="009E550B">
              <w:rPr>
                <w:rFonts w:ascii="Book Antiqua" w:hAnsi="Book Antiqua"/>
                <w:b/>
                <w:bCs/>
                <w:color w:val="auto"/>
                <w:sz w:val="20"/>
                <w:szCs w:val="20"/>
              </w:rPr>
              <w:t xml:space="preserve">. </w:t>
            </w:r>
            <w:hyperlink r:id="rId11" w:history="1">
              <w:r w:rsidRPr="009E550B">
                <w:rPr>
                  <w:rStyle w:val="Hipervnculo"/>
                  <w:rFonts w:ascii="Book Antiqua" w:hAnsi="Book Antiqua"/>
                  <w:b/>
                  <w:bCs/>
                  <w:color w:val="auto"/>
                  <w:sz w:val="20"/>
                  <w:szCs w:val="20"/>
                </w:rPr>
                <w:t>http://www.ridrom.uclm.es</w:t>
              </w:r>
            </w:hyperlink>
            <w:r w:rsidRPr="009E550B">
              <w:rPr>
                <w:rFonts w:ascii="Book Antiqua" w:hAnsi="Book Antiqua"/>
                <w:b/>
                <w:bCs/>
                <w:color w:val="auto"/>
                <w:sz w:val="20"/>
                <w:szCs w:val="20"/>
              </w:rPr>
              <w:t>)</w:t>
            </w:r>
          </w:p>
          <w:p w14:paraId="3D135DC1" w14:textId="77777777" w:rsidR="00192159" w:rsidRPr="004D64E8" w:rsidRDefault="00192159" w:rsidP="004D64E8">
            <w:pPr>
              <w:jc w:val="center"/>
              <w:rPr>
                <w:rFonts w:ascii="Book Antiqua" w:eastAsia="Times New Roman" w:hAnsi="Book Antiqua"/>
                <w:b/>
                <w:bCs/>
              </w:rPr>
            </w:pPr>
          </w:p>
          <w:p w14:paraId="2B0087FC" w14:textId="77777777" w:rsidR="00192159" w:rsidRDefault="00192159" w:rsidP="004D64E8">
            <w:pPr>
              <w:jc w:val="center"/>
              <w:rPr>
                <w:rFonts w:ascii="Book Antiqua" w:eastAsia="Times New Roman" w:hAnsi="Book Antiqua"/>
                <w:sz w:val="24"/>
              </w:rPr>
            </w:pPr>
          </w:p>
          <w:p w14:paraId="5F46769E" w14:textId="6769C0C2" w:rsidR="00192159" w:rsidRDefault="00192159" w:rsidP="00912B9F">
            <w:pPr>
              <w:jc w:val="center"/>
              <w:rPr>
                <w:rFonts w:ascii="Book Antiqua" w:eastAsia="Times New Roman" w:hAnsi="Book Antiqua"/>
              </w:rPr>
            </w:pPr>
            <w:r w:rsidRPr="00912B9F">
              <w:rPr>
                <w:rFonts w:ascii="Book Antiqua" w:eastAsia="Times New Roman" w:hAnsi="Book Antiqua"/>
                <w:b/>
                <w:bCs/>
              </w:rPr>
              <w:t>Resumen:</w:t>
            </w:r>
            <w:r w:rsidRPr="00912B9F">
              <w:rPr>
                <w:rFonts w:ascii="Book Antiqua" w:eastAsia="Times New Roman" w:hAnsi="Book Antiqua"/>
              </w:rPr>
              <w:br/>
            </w:r>
            <w:r w:rsidR="009F49DE" w:rsidRPr="009F49DE">
              <w:rPr>
                <w:rFonts w:ascii="Book Antiqua" w:eastAsia="Times New Roman" w:hAnsi="Book Antiqua"/>
                <w:bCs/>
              </w:rPr>
              <w:t xml:space="preserve">La promulgación de los Reglamentos de la UE en materia de competencia jurisdiccional ha puesto de manifiesto su innegable origen justinianeo. Esta presencia romana ha sido ratificada por la jurisprudencia del </w:t>
            </w:r>
            <w:proofErr w:type="spellStart"/>
            <w:r w:rsidR="009F49DE" w:rsidRPr="009F49DE">
              <w:rPr>
                <w:rFonts w:ascii="Book Antiqua" w:eastAsia="Times New Roman" w:hAnsi="Book Antiqua"/>
                <w:bCs/>
              </w:rPr>
              <w:t>TJUE</w:t>
            </w:r>
            <w:proofErr w:type="spellEnd"/>
            <w:r w:rsidR="009F49DE" w:rsidRPr="009F49DE">
              <w:rPr>
                <w:rFonts w:ascii="Book Antiqua" w:eastAsia="Times New Roman" w:hAnsi="Book Antiqua"/>
                <w:bCs/>
              </w:rPr>
              <w:t xml:space="preserve"> que, en sus sentencias, se remite a los conceptos y fueros que utilizaban los jurisconsultos romanos. La remisión al domicilio habitual como criterio prioritario para determinar la competencia judicial ha sido completada, no sólo con la referencia </w:t>
            </w:r>
            <w:proofErr w:type="gramStart"/>
            <w:r w:rsidR="009F49DE" w:rsidRPr="009F49DE">
              <w:rPr>
                <w:rFonts w:ascii="Book Antiqua" w:eastAsia="Times New Roman" w:hAnsi="Book Antiqua"/>
                <w:bCs/>
              </w:rPr>
              <w:t>al  </w:t>
            </w:r>
            <w:proofErr w:type="spellStart"/>
            <w:r w:rsidR="009F49DE" w:rsidRPr="009F49DE">
              <w:rPr>
                <w:rFonts w:ascii="Book Antiqua" w:eastAsia="Times New Roman" w:hAnsi="Book Antiqua"/>
                <w:bCs/>
                <w:i/>
                <w:iCs/>
              </w:rPr>
              <w:t>forum</w:t>
            </w:r>
            <w:proofErr w:type="spellEnd"/>
            <w:proofErr w:type="gramEnd"/>
            <w:r w:rsidR="009F49DE" w:rsidRPr="009F49DE">
              <w:rPr>
                <w:rFonts w:ascii="Book Antiqua" w:eastAsia="Times New Roman" w:hAnsi="Book Antiqua"/>
                <w:bCs/>
                <w:i/>
                <w:iCs/>
              </w:rPr>
              <w:t xml:space="preserve"> </w:t>
            </w:r>
            <w:proofErr w:type="spellStart"/>
            <w:r w:rsidR="009F49DE" w:rsidRPr="009F49DE">
              <w:rPr>
                <w:rFonts w:ascii="Book Antiqua" w:eastAsia="Times New Roman" w:hAnsi="Book Antiqua"/>
                <w:bCs/>
                <w:i/>
                <w:iCs/>
              </w:rPr>
              <w:t>rei</w:t>
            </w:r>
            <w:proofErr w:type="spellEnd"/>
            <w:r w:rsidR="009F49DE" w:rsidRPr="009F49DE">
              <w:rPr>
                <w:rFonts w:ascii="Book Antiqua" w:eastAsia="Times New Roman" w:hAnsi="Book Antiqua"/>
                <w:bCs/>
                <w:i/>
                <w:iCs/>
              </w:rPr>
              <w:t xml:space="preserve"> </w:t>
            </w:r>
            <w:proofErr w:type="spellStart"/>
            <w:r w:rsidR="009F49DE" w:rsidRPr="009F49DE">
              <w:rPr>
                <w:rFonts w:ascii="Book Antiqua" w:eastAsia="Times New Roman" w:hAnsi="Book Antiqua"/>
                <w:bCs/>
                <w:i/>
                <w:iCs/>
              </w:rPr>
              <w:t>sitae</w:t>
            </w:r>
            <w:proofErr w:type="spellEnd"/>
            <w:r w:rsidR="009F49DE" w:rsidRPr="009F49DE">
              <w:rPr>
                <w:rFonts w:ascii="Book Antiqua" w:eastAsia="Times New Roman" w:hAnsi="Book Antiqua"/>
                <w:bCs/>
                <w:i/>
                <w:iCs/>
              </w:rPr>
              <w:t xml:space="preserve">, </w:t>
            </w:r>
            <w:proofErr w:type="spellStart"/>
            <w:r w:rsidR="009F49DE" w:rsidRPr="009F49DE">
              <w:rPr>
                <w:rFonts w:ascii="Book Antiqua" w:eastAsia="Times New Roman" w:hAnsi="Book Antiqua"/>
                <w:bCs/>
                <w:i/>
                <w:iCs/>
              </w:rPr>
              <w:t>forum</w:t>
            </w:r>
            <w:proofErr w:type="spellEnd"/>
            <w:r w:rsidR="009F49DE" w:rsidRPr="009F49DE">
              <w:rPr>
                <w:rFonts w:ascii="Book Antiqua" w:eastAsia="Times New Roman" w:hAnsi="Book Antiqua"/>
                <w:bCs/>
                <w:i/>
                <w:iCs/>
              </w:rPr>
              <w:t xml:space="preserve"> </w:t>
            </w:r>
            <w:proofErr w:type="spellStart"/>
            <w:r w:rsidR="009F49DE" w:rsidRPr="009F49DE">
              <w:rPr>
                <w:rFonts w:ascii="Book Antiqua" w:eastAsia="Times New Roman" w:hAnsi="Book Antiqua"/>
                <w:bCs/>
                <w:i/>
                <w:iCs/>
              </w:rPr>
              <w:t>delicti</w:t>
            </w:r>
            <w:proofErr w:type="spellEnd"/>
            <w:r w:rsidR="009F49DE" w:rsidRPr="009F49DE">
              <w:rPr>
                <w:rFonts w:ascii="Book Antiqua" w:eastAsia="Times New Roman" w:hAnsi="Book Antiqua"/>
                <w:bCs/>
                <w:i/>
                <w:iCs/>
              </w:rPr>
              <w:t xml:space="preserve"> </w:t>
            </w:r>
            <w:proofErr w:type="spellStart"/>
            <w:r w:rsidR="009F49DE" w:rsidRPr="009F49DE">
              <w:rPr>
                <w:rFonts w:ascii="Book Antiqua" w:eastAsia="Times New Roman" w:hAnsi="Book Antiqua"/>
                <w:bCs/>
                <w:i/>
                <w:iCs/>
              </w:rPr>
              <w:t>commissi</w:t>
            </w:r>
            <w:proofErr w:type="spellEnd"/>
            <w:r w:rsidR="009F49DE" w:rsidRPr="009F49DE">
              <w:rPr>
                <w:rFonts w:ascii="Book Antiqua" w:eastAsia="Times New Roman" w:hAnsi="Book Antiqua"/>
                <w:bCs/>
                <w:i/>
                <w:iCs/>
              </w:rPr>
              <w:t> </w:t>
            </w:r>
            <w:r w:rsidR="009F49DE" w:rsidRPr="009F49DE">
              <w:rPr>
                <w:rFonts w:ascii="Book Antiqua" w:eastAsia="Times New Roman" w:hAnsi="Book Antiqua"/>
                <w:bCs/>
              </w:rPr>
              <w:t>o</w:t>
            </w:r>
            <w:r w:rsidR="009F49DE" w:rsidRPr="009F49DE">
              <w:rPr>
                <w:rFonts w:ascii="Book Antiqua" w:eastAsia="Times New Roman" w:hAnsi="Book Antiqua"/>
                <w:bCs/>
                <w:i/>
                <w:iCs/>
              </w:rPr>
              <w:t> </w:t>
            </w:r>
            <w:proofErr w:type="spellStart"/>
            <w:r w:rsidR="009F49DE" w:rsidRPr="009F49DE">
              <w:rPr>
                <w:rFonts w:ascii="Book Antiqua" w:eastAsia="Times New Roman" w:hAnsi="Book Antiqua"/>
                <w:bCs/>
                <w:i/>
                <w:iCs/>
              </w:rPr>
              <w:t>forum</w:t>
            </w:r>
            <w:proofErr w:type="spellEnd"/>
            <w:r w:rsidR="009F49DE" w:rsidRPr="009F49DE">
              <w:rPr>
                <w:rFonts w:ascii="Book Antiqua" w:eastAsia="Times New Roman" w:hAnsi="Book Antiqua"/>
                <w:bCs/>
                <w:i/>
                <w:iCs/>
              </w:rPr>
              <w:t xml:space="preserve"> </w:t>
            </w:r>
            <w:proofErr w:type="spellStart"/>
            <w:r w:rsidR="009F49DE" w:rsidRPr="009F49DE">
              <w:rPr>
                <w:rFonts w:ascii="Book Antiqua" w:eastAsia="Times New Roman" w:hAnsi="Book Antiqua"/>
                <w:bCs/>
                <w:i/>
                <w:iCs/>
              </w:rPr>
              <w:t>solutionis</w:t>
            </w:r>
            <w:proofErr w:type="spellEnd"/>
            <w:r w:rsidR="009F49DE" w:rsidRPr="009F49DE">
              <w:rPr>
                <w:rFonts w:ascii="Book Antiqua" w:eastAsia="Times New Roman" w:hAnsi="Book Antiqua"/>
                <w:bCs/>
                <w:i/>
                <w:iCs/>
              </w:rPr>
              <w:t>,</w:t>
            </w:r>
            <w:r w:rsidR="009F49DE" w:rsidRPr="009F49DE">
              <w:rPr>
                <w:rFonts w:ascii="Book Antiqua" w:eastAsia="Times New Roman" w:hAnsi="Book Antiqua"/>
                <w:bCs/>
              </w:rPr>
              <w:t> sino a conceptos nuevos como el de “residencia habitual”, que complementa al domicilio. Se observa que el legislador comunitario ha de recurrir a fueros excepcionales o privilegiados que intentan adaptar los cimientos romanos a la nueva construcción del derecho del siglo XXI, pero que no dejan de ser una adaptación de los criterios clásicos acuñados hace dos mil años</w:t>
            </w:r>
            <w:r w:rsidRPr="00912B9F">
              <w:rPr>
                <w:rFonts w:ascii="Book Antiqua" w:eastAsia="Times New Roman" w:hAnsi="Book Antiqua"/>
              </w:rPr>
              <w:t>.</w:t>
            </w:r>
          </w:p>
          <w:p w14:paraId="18D92F6A" w14:textId="77777777" w:rsidR="0085555F" w:rsidRPr="00912B9F" w:rsidRDefault="0085555F" w:rsidP="00912B9F">
            <w:pPr>
              <w:jc w:val="center"/>
              <w:rPr>
                <w:rFonts w:ascii="Book Antiqua" w:eastAsia="Times New Roman" w:hAnsi="Book Antiqua"/>
              </w:rPr>
            </w:pPr>
          </w:p>
          <w:p w14:paraId="04ECEF29" w14:textId="1574D896" w:rsidR="00192159" w:rsidRPr="00807CD5" w:rsidRDefault="00192159" w:rsidP="004D64E8">
            <w:pPr>
              <w:jc w:val="center"/>
              <w:rPr>
                <w:rFonts w:ascii="Book Antiqua" w:eastAsia="Times New Roman" w:hAnsi="Book Antiqua"/>
                <w:b/>
                <w:bCs/>
              </w:rPr>
            </w:pPr>
            <w:proofErr w:type="spellStart"/>
            <w:r w:rsidRPr="00912B9F">
              <w:rPr>
                <w:rFonts w:ascii="Book Antiqua" w:eastAsia="Times New Roman" w:hAnsi="Book Antiqua"/>
                <w:b/>
                <w:bCs/>
              </w:rPr>
              <w:t>Abstract</w:t>
            </w:r>
            <w:proofErr w:type="spellEnd"/>
            <w:r w:rsidRPr="00912B9F">
              <w:rPr>
                <w:rFonts w:ascii="Book Antiqua" w:eastAsia="Times New Roman" w:hAnsi="Book Antiqua"/>
                <w:b/>
                <w:bCs/>
              </w:rPr>
              <w:t>:</w:t>
            </w:r>
            <w:r w:rsidRPr="00912B9F">
              <w:rPr>
                <w:rFonts w:ascii="Book Antiqua" w:eastAsia="Times New Roman" w:hAnsi="Book Antiqua"/>
              </w:rPr>
              <w:br/>
            </w:r>
            <w:r w:rsidR="001549F7" w:rsidRPr="001549F7">
              <w:rPr>
                <w:rFonts w:ascii="Book Antiqua" w:eastAsia="Times New Roman" w:hAnsi="Book Antiqua"/>
                <w:lang w:val="en-GB"/>
              </w:rPr>
              <w:t xml:space="preserve">The enactment of EU Regulations in the field of jurisdictional competence has proved its undeniable Justinian origin. This Roman presence has been confirmed by </w:t>
            </w:r>
            <w:proofErr w:type="spellStart"/>
            <w:r w:rsidR="001549F7" w:rsidRPr="001549F7">
              <w:rPr>
                <w:rFonts w:ascii="Book Antiqua" w:eastAsia="Times New Roman" w:hAnsi="Book Antiqua"/>
                <w:lang w:val="en-GB"/>
              </w:rPr>
              <w:t>CJEU</w:t>
            </w:r>
            <w:proofErr w:type="spellEnd"/>
            <w:r w:rsidR="001549F7" w:rsidRPr="001549F7">
              <w:rPr>
                <w:rFonts w:ascii="Book Antiqua" w:eastAsia="Times New Roman" w:hAnsi="Book Antiqua"/>
                <w:lang w:val="en-GB"/>
              </w:rPr>
              <w:t xml:space="preserve"> case-law, as some of its decisions refer to the concepts and competence rules that were applied by Roman jurists. The habitual address as main criterion for the determination of the jurisdictional competence has been completed, not only by the remittance to the </w:t>
            </w:r>
            <w:r w:rsidR="001549F7" w:rsidRPr="001549F7">
              <w:rPr>
                <w:rFonts w:ascii="Book Antiqua" w:eastAsia="Times New Roman" w:hAnsi="Book Antiqua"/>
                <w:i/>
                <w:iCs/>
                <w:lang w:val="en-GB"/>
              </w:rPr>
              <w:t xml:space="preserve">forum rei </w:t>
            </w:r>
            <w:proofErr w:type="spellStart"/>
            <w:r w:rsidR="001549F7" w:rsidRPr="001549F7">
              <w:rPr>
                <w:rFonts w:ascii="Book Antiqua" w:eastAsia="Times New Roman" w:hAnsi="Book Antiqua"/>
                <w:i/>
                <w:iCs/>
                <w:lang w:val="en-GB"/>
              </w:rPr>
              <w:t>sitae</w:t>
            </w:r>
            <w:proofErr w:type="spellEnd"/>
            <w:r w:rsidR="001549F7" w:rsidRPr="001549F7">
              <w:rPr>
                <w:rFonts w:ascii="Book Antiqua" w:eastAsia="Times New Roman" w:hAnsi="Book Antiqua"/>
                <w:i/>
                <w:iCs/>
                <w:lang w:val="en-GB"/>
              </w:rPr>
              <w:t xml:space="preserve">, forum delicti </w:t>
            </w:r>
            <w:proofErr w:type="spellStart"/>
            <w:r w:rsidR="001549F7" w:rsidRPr="001549F7">
              <w:rPr>
                <w:rFonts w:ascii="Book Antiqua" w:eastAsia="Times New Roman" w:hAnsi="Book Antiqua"/>
                <w:i/>
                <w:iCs/>
                <w:lang w:val="en-GB"/>
              </w:rPr>
              <w:t>commissi</w:t>
            </w:r>
            <w:proofErr w:type="spellEnd"/>
            <w:r w:rsidR="001549F7" w:rsidRPr="001549F7">
              <w:rPr>
                <w:rFonts w:ascii="Book Antiqua" w:eastAsia="Times New Roman" w:hAnsi="Book Antiqua"/>
                <w:i/>
                <w:iCs/>
                <w:lang w:val="en-GB"/>
              </w:rPr>
              <w:t xml:space="preserve"> </w:t>
            </w:r>
            <w:r w:rsidR="001549F7" w:rsidRPr="001549F7">
              <w:rPr>
                <w:rFonts w:ascii="Book Antiqua" w:eastAsia="Times New Roman" w:hAnsi="Book Antiqua"/>
                <w:lang w:val="en-GB"/>
              </w:rPr>
              <w:t>or</w:t>
            </w:r>
            <w:r w:rsidR="001549F7" w:rsidRPr="001549F7">
              <w:rPr>
                <w:rFonts w:ascii="Book Antiqua" w:eastAsia="Times New Roman" w:hAnsi="Book Antiqua"/>
                <w:i/>
                <w:iCs/>
                <w:lang w:val="en-GB"/>
              </w:rPr>
              <w:t xml:space="preserve"> forum </w:t>
            </w:r>
            <w:proofErr w:type="spellStart"/>
            <w:r w:rsidR="001549F7" w:rsidRPr="001549F7">
              <w:rPr>
                <w:rFonts w:ascii="Book Antiqua" w:eastAsia="Times New Roman" w:hAnsi="Book Antiqua"/>
                <w:i/>
                <w:iCs/>
                <w:lang w:val="en-GB"/>
              </w:rPr>
              <w:t>solutionis</w:t>
            </w:r>
            <w:proofErr w:type="spellEnd"/>
            <w:r w:rsidR="001549F7" w:rsidRPr="001549F7">
              <w:rPr>
                <w:rFonts w:ascii="Book Antiqua" w:eastAsia="Times New Roman" w:hAnsi="Book Antiqua"/>
                <w:lang w:val="en-GB"/>
              </w:rPr>
              <w:t>, but also by new concepts as "habitual residence" (that complement "address"). We can perceive that the EU legislator needs to apply exceptional or privileged competence criteria with the aim of adapting Roman basis to the new construction of XXI century laws. However, these are undoubtedly an adaptation of classical criteria developed two thousand years ago</w:t>
            </w:r>
            <w:r w:rsidRPr="00912B9F">
              <w:rPr>
                <w:rFonts w:ascii="Book Antiqua" w:eastAsia="Times New Roman" w:hAnsi="Book Antiqua"/>
              </w:rPr>
              <w:t>.</w:t>
            </w:r>
          </w:p>
          <w:p w14:paraId="4761FD30" w14:textId="4CFC4C95" w:rsidR="00192159" w:rsidRPr="004D64E8" w:rsidRDefault="00192159" w:rsidP="004D64E8">
            <w:pPr>
              <w:jc w:val="center"/>
              <w:rPr>
                <w:rFonts w:ascii="Book Antiqua" w:eastAsia="Times New Roman" w:hAnsi="Book Antiqua"/>
                <w:sz w:val="16"/>
                <w:szCs w:val="16"/>
              </w:rPr>
            </w:pPr>
          </w:p>
        </w:tc>
      </w:tr>
    </w:tbl>
    <w:p w14:paraId="4274E143" w14:textId="77777777" w:rsidR="008C2933" w:rsidRDefault="008C2933" w:rsidP="008C2933">
      <w:pPr>
        <w:spacing w:line="20" w:lineRule="exact"/>
        <w:rPr>
          <w:rFonts w:ascii="Times New Roman" w:eastAsia="Times New Roman" w:hAnsi="Times New Roman"/>
          <w:sz w:val="24"/>
        </w:rPr>
        <w:sectPr w:rsidR="008C2933" w:rsidSect="00A8381C">
          <w:headerReference w:type="default" r:id="rId12"/>
          <w:footerReference w:type="default" r:id="rId13"/>
          <w:footerReference w:type="first" r:id="rId14"/>
          <w:pgSz w:w="11900" w:h="16838"/>
          <w:pgMar w:top="737" w:right="1026" w:bottom="50" w:left="1020" w:header="340" w:footer="567" w:gutter="0"/>
          <w:pgNumType w:start="237"/>
          <w:cols w:space="0" w:equalWidth="0">
            <w:col w:w="9860"/>
          </w:cols>
          <w:titlePg/>
          <w:docGrid w:linePitch="360"/>
        </w:sectPr>
      </w:pPr>
    </w:p>
    <w:p w14:paraId="5527AC76" w14:textId="77777777" w:rsidR="00575480" w:rsidRDefault="00575480" w:rsidP="003B5DCE">
      <w:pPr>
        <w:autoSpaceDN w:val="0"/>
        <w:spacing w:line="360" w:lineRule="auto"/>
        <w:ind w:right="-1"/>
        <w:jc w:val="both"/>
        <w:rPr>
          <w:rFonts w:ascii="Book Antiqua" w:hAnsi="Book Antiqua"/>
          <w:b/>
          <w:smallCaps/>
          <w:sz w:val="28"/>
          <w:szCs w:val="28"/>
        </w:rPr>
      </w:pPr>
    </w:p>
    <w:p w14:paraId="544D0E15" w14:textId="77777777" w:rsidR="004A00AB" w:rsidRPr="00B85EA2" w:rsidRDefault="004A00AB" w:rsidP="004A00AB">
      <w:pPr>
        <w:spacing w:after="100" w:afterAutospacing="1" w:line="360" w:lineRule="auto"/>
        <w:ind w:firstLine="709"/>
        <w:jc w:val="both"/>
        <w:rPr>
          <w:rFonts w:ascii="Book Antiqua" w:hAnsi="Book Antiqua"/>
          <w:sz w:val="28"/>
          <w:szCs w:val="28"/>
        </w:rPr>
      </w:pPr>
      <w:r w:rsidRPr="00B85EA2">
        <w:rPr>
          <w:rFonts w:ascii="Book Antiqua" w:hAnsi="Book Antiqua"/>
          <w:b/>
          <w:sz w:val="24"/>
          <w:szCs w:val="24"/>
        </w:rPr>
        <w:t xml:space="preserve">EVOLUCIÓN </w:t>
      </w:r>
      <w:r>
        <w:rPr>
          <w:rFonts w:ascii="Book Antiqua" w:hAnsi="Book Antiqua"/>
          <w:b/>
          <w:sz w:val="24"/>
          <w:szCs w:val="24"/>
        </w:rPr>
        <w:t xml:space="preserve">DE </w:t>
      </w:r>
      <w:r w:rsidRPr="00B85EA2">
        <w:rPr>
          <w:rFonts w:ascii="Book Antiqua" w:hAnsi="Book Antiqua"/>
          <w:b/>
          <w:sz w:val="24"/>
          <w:szCs w:val="24"/>
        </w:rPr>
        <w:t>LOS FUEROS JURISDICCIONALES ROMANOS EN LA PRÁCTICA LEGISLATIVA Y JURISP</w:t>
      </w:r>
      <w:r>
        <w:rPr>
          <w:rFonts w:ascii="Book Antiqua" w:hAnsi="Book Antiqua"/>
          <w:b/>
          <w:sz w:val="24"/>
          <w:szCs w:val="24"/>
        </w:rPr>
        <w:t>RUDENCIAL DE LA UE EN EL SIGLO XXI.</w:t>
      </w:r>
      <w:r>
        <w:rPr>
          <w:rStyle w:val="Refdenotaalpie"/>
          <w:rFonts w:ascii="Book Antiqua" w:hAnsi="Book Antiqua"/>
          <w:b/>
          <w:sz w:val="24"/>
          <w:szCs w:val="24"/>
        </w:rPr>
        <w:footnoteReference w:id="1"/>
      </w:r>
      <w:r>
        <w:rPr>
          <w:rFonts w:ascii="Book Antiqua" w:hAnsi="Book Antiqua"/>
          <w:sz w:val="28"/>
          <w:szCs w:val="28"/>
        </w:rPr>
        <w:t xml:space="preserve">           </w:t>
      </w:r>
    </w:p>
    <w:p w14:paraId="2B222461" w14:textId="77777777" w:rsidR="004A00AB" w:rsidRPr="006E61DB" w:rsidRDefault="004A00AB" w:rsidP="004A00AB">
      <w:pPr>
        <w:spacing w:after="100" w:afterAutospacing="1"/>
        <w:jc w:val="both"/>
        <w:rPr>
          <w:rFonts w:ascii="Book Antiqua" w:hAnsi="Book Antiqua"/>
          <w:sz w:val="28"/>
          <w:szCs w:val="28"/>
        </w:rPr>
      </w:pPr>
      <w:r w:rsidRPr="006E61DB">
        <w:rPr>
          <w:rFonts w:ascii="Book Antiqua" w:hAnsi="Book Antiqua"/>
          <w:sz w:val="28"/>
          <w:szCs w:val="28"/>
        </w:rPr>
        <w:t xml:space="preserve">I.- Resumen. II.- Introducción. III.- El respeto a la voluntad y la libertad de elección de las partes. III.1.-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i/>
          <w:sz w:val="28"/>
          <w:szCs w:val="28"/>
        </w:rPr>
        <w:t xml:space="preserve"> </w:t>
      </w:r>
      <w:r w:rsidRPr="006E61DB">
        <w:rPr>
          <w:rFonts w:ascii="Book Antiqua" w:hAnsi="Book Antiqua"/>
          <w:sz w:val="28"/>
          <w:szCs w:val="28"/>
        </w:rPr>
        <w:t>en los textos clásicos y propuestas revisionistas. III.2.- Evolución desde el</w:t>
      </w:r>
      <w:r w:rsidRPr="006E61DB">
        <w:rPr>
          <w:rFonts w:ascii="Book Antiqua" w:hAnsi="Book Antiqua"/>
          <w:i/>
          <w:sz w:val="28"/>
          <w:szCs w:val="28"/>
        </w:rPr>
        <w:t xml:space="preserve">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i/>
          <w:sz w:val="28"/>
          <w:szCs w:val="28"/>
        </w:rPr>
        <w:t xml:space="preserve"> a la “</w:t>
      </w:r>
      <w:r w:rsidRPr="006E61DB">
        <w:rPr>
          <w:rFonts w:ascii="Book Antiqua" w:hAnsi="Book Antiqua"/>
          <w:sz w:val="28"/>
          <w:szCs w:val="28"/>
        </w:rPr>
        <w:t>residencia habitual”</w:t>
      </w:r>
      <w:r w:rsidRPr="006E61DB">
        <w:rPr>
          <w:rFonts w:ascii="Book Antiqua" w:hAnsi="Book Antiqua"/>
          <w:i/>
          <w:sz w:val="28"/>
          <w:szCs w:val="28"/>
        </w:rPr>
        <w:t xml:space="preserve"> </w:t>
      </w:r>
      <w:r w:rsidRPr="006E61DB">
        <w:rPr>
          <w:rFonts w:ascii="Book Antiqua" w:hAnsi="Book Antiqua"/>
          <w:sz w:val="28"/>
          <w:szCs w:val="28"/>
        </w:rPr>
        <w:t>y “centro de intereses”</w:t>
      </w:r>
      <w:r w:rsidRPr="006E61DB">
        <w:rPr>
          <w:rFonts w:ascii="Book Antiqua" w:hAnsi="Book Antiqua"/>
          <w:i/>
          <w:sz w:val="28"/>
          <w:szCs w:val="28"/>
        </w:rPr>
        <w:t xml:space="preserve">. </w:t>
      </w:r>
      <w:r w:rsidRPr="006E61DB">
        <w:rPr>
          <w:rFonts w:ascii="Book Antiqua" w:hAnsi="Book Antiqua"/>
          <w:sz w:val="28"/>
          <w:szCs w:val="28"/>
        </w:rPr>
        <w:t>III.3.-</w:t>
      </w:r>
      <w:r w:rsidRPr="006E61DB">
        <w:rPr>
          <w:rFonts w:ascii="Book Antiqua" w:hAnsi="Book Antiqua"/>
          <w:i/>
          <w:sz w:val="28"/>
          <w:szCs w:val="28"/>
        </w:rPr>
        <w:t xml:space="preserve">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i/>
          <w:sz w:val="28"/>
          <w:szCs w:val="28"/>
        </w:rPr>
        <w:t xml:space="preserve"> </w:t>
      </w:r>
      <w:r w:rsidRPr="006E61DB">
        <w:rPr>
          <w:rFonts w:ascii="Book Antiqua" w:hAnsi="Book Antiqua"/>
          <w:sz w:val="28"/>
          <w:szCs w:val="28"/>
        </w:rPr>
        <w:t xml:space="preserve">y responsabilidad aquiliana. III.4.- Fueros de aplicación en materia de acciones penales.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sz w:val="28"/>
          <w:szCs w:val="28"/>
        </w:rPr>
        <w:t xml:space="preserve"> </w:t>
      </w:r>
      <w:proofErr w:type="gramStart"/>
      <w:r w:rsidRPr="006E61DB">
        <w:rPr>
          <w:rFonts w:ascii="Book Antiqua" w:hAnsi="Book Antiqua"/>
          <w:sz w:val="28"/>
          <w:szCs w:val="28"/>
        </w:rPr>
        <w:t xml:space="preserve">y  </w:t>
      </w:r>
      <w:r w:rsidRPr="006E61DB">
        <w:rPr>
          <w:rFonts w:ascii="Book Antiqua" w:hAnsi="Book Antiqua"/>
          <w:i/>
          <w:sz w:val="28"/>
          <w:szCs w:val="28"/>
        </w:rPr>
        <w:t>lex</w:t>
      </w:r>
      <w:proofErr w:type="gramEnd"/>
      <w:r w:rsidRPr="006E61DB">
        <w:rPr>
          <w:rFonts w:ascii="Book Antiqua" w:hAnsi="Book Antiqua"/>
          <w:i/>
          <w:sz w:val="28"/>
          <w:szCs w:val="28"/>
        </w:rPr>
        <w:t xml:space="preserve"> loci </w:t>
      </w:r>
      <w:proofErr w:type="spellStart"/>
      <w:r w:rsidRPr="006E61DB">
        <w:rPr>
          <w:rFonts w:ascii="Book Antiqua" w:hAnsi="Book Antiqua"/>
          <w:i/>
          <w:sz w:val="28"/>
          <w:szCs w:val="28"/>
        </w:rPr>
        <w:t>damni</w:t>
      </w:r>
      <w:proofErr w:type="spellEnd"/>
      <w:r w:rsidRPr="006E61DB">
        <w:rPr>
          <w:rFonts w:ascii="Book Antiqua" w:hAnsi="Book Antiqua"/>
          <w:i/>
          <w:sz w:val="28"/>
          <w:szCs w:val="28"/>
        </w:rPr>
        <w:t xml:space="preserve"> </w:t>
      </w:r>
      <w:r w:rsidRPr="006E61DB">
        <w:rPr>
          <w:rFonts w:ascii="Book Antiqua" w:hAnsi="Book Antiqua"/>
          <w:sz w:val="28"/>
          <w:szCs w:val="28"/>
        </w:rPr>
        <w:t xml:space="preserve"> en</w:t>
      </w:r>
      <w:r w:rsidRPr="006E61DB">
        <w:rPr>
          <w:rFonts w:ascii="Book Antiqua" w:hAnsi="Book Antiqua"/>
          <w:i/>
          <w:sz w:val="28"/>
          <w:szCs w:val="28"/>
        </w:rPr>
        <w:t xml:space="preserve"> </w:t>
      </w:r>
      <w:r w:rsidRPr="006E61DB">
        <w:rPr>
          <w:rFonts w:ascii="Book Antiqua" w:hAnsi="Book Antiqua"/>
          <w:sz w:val="28"/>
          <w:szCs w:val="28"/>
        </w:rPr>
        <w:t>la UE. IV.- Reflexiones finales. V.- Bibliografía.</w:t>
      </w:r>
    </w:p>
    <w:p w14:paraId="57DA7487" w14:textId="77777777" w:rsidR="004A00A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I.- Resumen</w:t>
      </w:r>
    </w:p>
    <w:p w14:paraId="72B55055" w14:textId="77777777" w:rsidR="004A00AB" w:rsidRPr="006E61DB" w:rsidRDefault="004A00AB" w:rsidP="004A00AB">
      <w:pPr>
        <w:spacing w:after="100" w:afterAutospacing="1" w:line="360" w:lineRule="auto"/>
        <w:ind w:firstLine="708"/>
        <w:jc w:val="both"/>
        <w:rPr>
          <w:rFonts w:ascii="Book Antiqua" w:eastAsia="Times New Roman" w:hAnsi="Book Antiqua"/>
          <w:bCs/>
          <w:color w:val="222222"/>
          <w:sz w:val="28"/>
          <w:szCs w:val="28"/>
        </w:rPr>
      </w:pPr>
      <w:r w:rsidRPr="006E61DB">
        <w:rPr>
          <w:rFonts w:ascii="Book Antiqua" w:eastAsia="Times New Roman" w:hAnsi="Book Antiqua"/>
          <w:bCs/>
          <w:color w:val="222222"/>
          <w:sz w:val="28"/>
          <w:szCs w:val="28"/>
        </w:rPr>
        <w:t xml:space="preserve">La promulgación de los Reglamentos de la UE en materia de competencia jurisdiccional ha puesto de manifiesto su innegable origen justinianeo. Esta presencia romana ha sido ratificada por la jurisprudencia del </w:t>
      </w:r>
      <w:proofErr w:type="spellStart"/>
      <w:r w:rsidRPr="006E61DB">
        <w:rPr>
          <w:rFonts w:ascii="Book Antiqua" w:eastAsia="Times New Roman" w:hAnsi="Book Antiqua"/>
          <w:bCs/>
          <w:color w:val="222222"/>
          <w:sz w:val="28"/>
          <w:szCs w:val="28"/>
        </w:rPr>
        <w:t>TJUE</w:t>
      </w:r>
      <w:proofErr w:type="spellEnd"/>
      <w:r w:rsidRPr="006E61DB">
        <w:rPr>
          <w:rFonts w:ascii="Book Antiqua" w:eastAsia="Times New Roman" w:hAnsi="Book Antiqua"/>
          <w:bCs/>
          <w:color w:val="222222"/>
          <w:sz w:val="28"/>
          <w:szCs w:val="28"/>
        </w:rPr>
        <w:t xml:space="preserve"> que</w:t>
      </w:r>
      <w:r>
        <w:rPr>
          <w:rFonts w:ascii="Book Antiqua" w:eastAsia="Times New Roman" w:hAnsi="Book Antiqua"/>
          <w:bCs/>
          <w:color w:val="222222"/>
          <w:sz w:val="28"/>
          <w:szCs w:val="28"/>
        </w:rPr>
        <w:t>,</w:t>
      </w:r>
      <w:r w:rsidRPr="006E61DB">
        <w:rPr>
          <w:rFonts w:ascii="Book Antiqua" w:eastAsia="Times New Roman" w:hAnsi="Book Antiqua"/>
          <w:bCs/>
          <w:color w:val="222222"/>
          <w:sz w:val="28"/>
          <w:szCs w:val="28"/>
        </w:rPr>
        <w:t xml:space="preserve"> en sus sentencias</w:t>
      </w:r>
      <w:r>
        <w:rPr>
          <w:rFonts w:ascii="Book Antiqua" w:eastAsia="Times New Roman" w:hAnsi="Book Antiqua"/>
          <w:bCs/>
          <w:color w:val="222222"/>
          <w:sz w:val="28"/>
          <w:szCs w:val="28"/>
        </w:rPr>
        <w:t>,</w:t>
      </w:r>
      <w:r w:rsidRPr="006E61DB">
        <w:rPr>
          <w:rFonts w:ascii="Book Antiqua" w:eastAsia="Times New Roman" w:hAnsi="Book Antiqua"/>
          <w:bCs/>
          <w:color w:val="222222"/>
          <w:sz w:val="28"/>
          <w:szCs w:val="28"/>
        </w:rPr>
        <w:t xml:space="preserve"> se remite a los conceptos y fueros que utilizaban los juri</w:t>
      </w:r>
      <w:r>
        <w:rPr>
          <w:rFonts w:ascii="Book Antiqua" w:eastAsia="Times New Roman" w:hAnsi="Book Antiqua"/>
          <w:bCs/>
          <w:color w:val="222222"/>
          <w:sz w:val="28"/>
          <w:szCs w:val="28"/>
        </w:rPr>
        <w:t xml:space="preserve">sconsultos romanos. La remisión </w:t>
      </w:r>
      <w:r w:rsidRPr="006E61DB">
        <w:rPr>
          <w:rFonts w:ascii="Book Antiqua" w:eastAsia="Times New Roman" w:hAnsi="Book Antiqua"/>
          <w:bCs/>
          <w:color w:val="222222"/>
          <w:sz w:val="28"/>
          <w:szCs w:val="28"/>
        </w:rPr>
        <w:t>al domicilio habitual como criterio prioritario para determinar la competencia judicial ha sido completada, no sólo con la referencia al</w:t>
      </w:r>
      <w:r>
        <w:rPr>
          <w:rFonts w:ascii="Book Antiqua" w:eastAsia="Times New Roman" w:hAnsi="Book Antiqua"/>
          <w:bCs/>
          <w:color w:val="222222"/>
          <w:sz w:val="28"/>
          <w:szCs w:val="28"/>
        </w:rPr>
        <w:t xml:space="preserve"> </w:t>
      </w:r>
      <w:proofErr w:type="spellStart"/>
      <w:r w:rsidRPr="006E61DB">
        <w:rPr>
          <w:rFonts w:ascii="Book Antiqua" w:eastAsia="Times New Roman" w:hAnsi="Book Antiqua"/>
          <w:bCs/>
          <w:color w:val="222222"/>
          <w:sz w:val="28"/>
          <w:szCs w:val="28"/>
        </w:rPr>
        <w:t>forum</w:t>
      </w:r>
      <w:proofErr w:type="spellEnd"/>
      <w:r w:rsidRPr="006E61DB">
        <w:rPr>
          <w:rFonts w:ascii="Book Antiqua" w:eastAsia="Times New Roman" w:hAnsi="Book Antiqua"/>
          <w:bCs/>
          <w:i/>
          <w:iCs/>
          <w:color w:val="222222"/>
          <w:sz w:val="28"/>
          <w:szCs w:val="28"/>
        </w:rPr>
        <w:t xml:space="preserve"> </w:t>
      </w:r>
      <w:proofErr w:type="spellStart"/>
      <w:r w:rsidRPr="006E61DB">
        <w:rPr>
          <w:rFonts w:ascii="Book Antiqua" w:eastAsia="Times New Roman" w:hAnsi="Book Antiqua"/>
          <w:bCs/>
          <w:i/>
          <w:iCs/>
          <w:color w:val="222222"/>
          <w:sz w:val="28"/>
          <w:szCs w:val="28"/>
        </w:rPr>
        <w:t>rei</w:t>
      </w:r>
      <w:proofErr w:type="spellEnd"/>
      <w:r w:rsidRPr="006E61DB">
        <w:rPr>
          <w:rFonts w:ascii="Book Antiqua" w:eastAsia="Times New Roman" w:hAnsi="Book Antiqua"/>
          <w:bCs/>
          <w:i/>
          <w:iCs/>
          <w:color w:val="222222"/>
          <w:sz w:val="28"/>
          <w:szCs w:val="28"/>
        </w:rPr>
        <w:t xml:space="preserve"> </w:t>
      </w:r>
      <w:proofErr w:type="spellStart"/>
      <w:r w:rsidRPr="006E61DB">
        <w:rPr>
          <w:rFonts w:ascii="Book Antiqua" w:eastAsia="Times New Roman" w:hAnsi="Book Antiqua"/>
          <w:bCs/>
          <w:i/>
          <w:iCs/>
          <w:color w:val="222222"/>
          <w:sz w:val="28"/>
          <w:szCs w:val="28"/>
        </w:rPr>
        <w:t>sitae</w:t>
      </w:r>
      <w:proofErr w:type="spellEnd"/>
      <w:r w:rsidRPr="006E61DB">
        <w:rPr>
          <w:rFonts w:ascii="Book Antiqua" w:eastAsia="Times New Roman" w:hAnsi="Book Antiqua"/>
          <w:bCs/>
          <w:i/>
          <w:iCs/>
          <w:color w:val="222222"/>
          <w:sz w:val="28"/>
          <w:szCs w:val="28"/>
        </w:rPr>
        <w:t xml:space="preserve">, </w:t>
      </w:r>
      <w:proofErr w:type="spellStart"/>
      <w:r w:rsidRPr="006E61DB">
        <w:rPr>
          <w:rFonts w:ascii="Book Antiqua" w:eastAsia="Times New Roman" w:hAnsi="Book Antiqua"/>
          <w:bCs/>
          <w:i/>
          <w:iCs/>
          <w:color w:val="222222"/>
          <w:sz w:val="28"/>
          <w:szCs w:val="28"/>
        </w:rPr>
        <w:t>forum</w:t>
      </w:r>
      <w:proofErr w:type="spellEnd"/>
      <w:r w:rsidRPr="006E61DB">
        <w:rPr>
          <w:rFonts w:ascii="Book Antiqua" w:eastAsia="Times New Roman" w:hAnsi="Book Antiqua"/>
          <w:bCs/>
          <w:i/>
          <w:iCs/>
          <w:color w:val="222222"/>
          <w:sz w:val="28"/>
          <w:szCs w:val="28"/>
        </w:rPr>
        <w:t xml:space="preserve"> </w:t>
      </w:r>
      <w:proofErr w:type="spellStart"/>
      <w:r w:rsidRPr="006E61DB">
        <w:rPr>
          <w:rFonts w:ascii="Book Antiqua" w:eastAsia="Times New Roman" w:hAnsi="Book Antiqua"/>
          <w:bCs/>
          <w:i/>
          <w:iCs/>
          <w:color w:val="222222"/>
          <w:sz w:val="28"/>
          <w:szCs w:val="28"/>
        </w:rPr>
        <w:t>delicti</w:t>
      </w:r>
      <w:proofErr w:type="spellEnd"/>
      <w:r w:rsidRPr="006E61DB">
        <w:rPr>
          <w:rFonts w:ascii="Book Antiqua" w:eastAsia="Times New Roman" w:hAnsi="Book Antiqua"/>
          <w:bCs/>
          <w:i/>
          <w:iCs/>
          <w:color w:val="222222"/>
          <w:sz w:val="28"/>
          <w:szCs w:val="28"/>
        </w:rPr>
        <w:t xml:space="preserve"> </w:t>
      </w:r>
      <w:proofErr w:type="spellStart"/>
      <w:r w:rsidRPr="006E61DB">
        <w:rPr>
          <w:rFonts w:ascii="Book Antiqua" w:eastAsia="Times New Roman" w:hAnsi="Book Antiqua"/>
          <w:bCs/>
          <w:i/>
          <w:iCs/>
          <w:color w:val="222222"/>
          <w:sz w:val="28"/>
          <w:szCs w:val="28"/>
        </w:rPr>
        <w:t>commissi</w:t>
      </w:r>
      <w:proofErr w:type="spellEnd"/>
      <w:r w:rsidRPr="006E61DB">
        <w:rPr>
          <w:rFonts w:ascii="Book Antiqua" w:eastAsia="Times New Roman" w:hAnsi="Book Antiqua"/>
          <w:bCs/>
          <w:i/>
          <w:iCs/>
          <w:color w:val="222222"/>
          <w:sz w:val="28"/>
          <w:szCs w:val="28"/>
        </w:rPr>
        <w:t> </w:t>
      </w:r>
      <w:r w:rsidRPr="006E61DB">
        <w:rPr>
          <w:rFonts w:ascii="Book Antiqua" w:eastAsia="Times New Roman" w:hAnsi="Book Antiqua"/>
          <w:bCs/>
          <w:color w:val="222222"/>
          <w:sz w:val="28"/>
          <w:szCs w:val="28"/>
        </w:rPr>
        <w:t>o</w:t>
      </w:r>
      <w:r w:rsidRPr="006E61DB">
        <w:rPr>
          <w:rFonts w:ascii="Book Antiqua" w:eastAsia="Times New Roman" w:hAnsi="Book Antiqua"/>
          <w:bCs/>
          <w:i/>
          <w:iCs/>
          <w:color w:val="222222"/>
          <w:sz w:val="28"/>
          <w:szCs w:val="28"/>
        </w:rPr>
        <w:t> </w:t>
      </w:r>
      <w:proofErr w:type="spellStart"/>
      <w:r w:rsidRPr="006E61DB">
        <w:rPr>
          <w:rFonts w:ascii="Book Antiqua" w:eastAsia="Times New Roman" w:hAnsi="Book Antiqua"/>
          <w:bCs/>
          <w:i/>
          <w:iCs/>
          <w:color w:val="222222"/>
          <w:sz w:val="28"/>
          <w:szCs w:val="28"/>
        </w:rPr>
        <w:t>forum</w:t>
      </w:r>
      <w:proofErr w:type="spellEnd"/>
      <w:r w:rsidRPr="006E61DB">
        <w:rPr>
          <w:rFonts w:ascii="Book Antiqua" w:eastAsia="Times New Roman" w:hAnsi="Book Antiqua"/>
          <w:bCs/>
          <w:i/>
          <w:iCs/>
          <w:color w:val="222222"/>
          <w:sz w:val="28"/>
          <w:szCs w:val="28"/>
        </w:rPr>
        <w:t xml:space="preserve"> </w:t>
      </w:r>
      <w:proofErr w:type="spellStart"/>
      <w:r w:rsidRPr="006E61DB">
        <w:rPr>
          <w:rFonts w:ascii="Book Antiqua" w:eastAsia="Times New Roman" w:hAnsi="Book Antiqua"/>
          <w:bCs/>
          <w:i/>
          <w:iCs/>
          <w:color w:val="222222"/>
          <w:sz w:val="28"/>
          <w:szCs w:val="28"/>
        </w:rPr>
        <w:t>solutionis</w:t>
      </w:r>
      <w:proofErr w:type="spellEnd"/>
      <w:r w:rsidRPr="006E61DB">
        <w:rPr>
          <w:rFonts w:ascii="Book Antiqua" w:eastAsia="Times New Roman" w:hAnsi="Book Antiqua"/>
          <w:bCs/>
          <w:i/>
          <w:iCs/>
          <w:color w:val="222222"/>
          <w:sz w:val="28"/>
          <w:szCs w:val="28"/>
        </w:rPr>
        <w:t>,</w:t>
      </w:r>
      <w:r w:rsidRPr="006E61DB">
        <w:rPr>
          <w:rFonts w:ascii="Book Antiqua" w:eastAsia="Times New Roman" w:hAnsi="Book Antiqua"/>
          <w:bCs/>
          <w:color w:val="222222"/>
          <w:sz w:val="28"/>
          <w:szCs w:val="28"/>
        </w:rPr>
        <w:t xml:space="preserve"> sino a conceptos nuevos como el de “residencia habitual”, que complementa al domicilio. Se observa que el legislador comunitario ha de recurrir a fueros excepcionales o privilegiados que intentan adaptar los cimientos romanos a la nueva construcción del </w:t>
      </w:r>
      <w:r w:rsidRPr="006E61DB">
        <w:rPr>
          <w:rFonts w:ascii="Book Antiqua" w:eastAsia="Times New Roman" w:hAnsi="Book Antiqua"/>
          <w:bCs/>
          <w:color w:val="222222"/>
          <w:sz w:val="28"/>
          <w:szCs w:val="28"/>
        </w:rPr>
        <w:lastRenderedPageBreak/>
        <w:t>derecho del siglo XXI, pero que no dejan de ser una adaptación de los criterios clásicos acuñados hace dos mil años.</w:t>
      </w:r>
    </w:p>
    <w:p w14:paraId="30D7BF4C" w14:textId="77777777" w:rsidR="004A00AB" w:rsidRPr="006E61DB" w:rsidRDefault="004A00AB" w:rsidP="004A00AB">
      <w:pPr>
        <w:shd w:val="clear" w:color="auto" w:fill="FFFFFF"/>
        <w:spacing w:line="360" w:lineRule="auto"/>
        <w:ind w:firstLine="708"/>
        <w:jc w:val="both"/>
        <w:rPr>
          <w:rFonts w:ascii="Book Antiqua" w:eastAsia="Times New Roman" w:hAnsi="Book Antiqua"/>
          <w:color w:val="222222"/>
          <w:sz w:val="28"/>
          <w:szCs w:val="28"/>
        </w:rPr>
      </w:pPr>
    </w:p>
    <w:p w14:paraId="5FD2882C" w14:textId="77777777" w:rsidR="004A00AB" w:rsidRPr="006E61DB" w:rsidRDefault="004A00AB" w:rsidP="004A00AB">
      <w:pPr>
        <w:shd w:val="clear" w:color="auto" w:fill="FFFFFF"/>
        <w:spacing w:line="360" w:lineRule="auto"/>
        <w:jc w:val="both"/>
        <w:rPr>
          <w:rFonts w:ascii="Book Antiqua" w:eastAsia="Times New Roman" w:hAnsi="Book Antiqua"/>
          <w:color w:val="222222"/>
          <w:sz w:val="28"/>
          <w:szCs w:val="28"/>
        </w:rPr>
      </w:pPr>
      <w:r w:rsidRPr="006E61DB">
        <w:rPr>
          <w:rFonts w:ascii="Book Antiqua" w:eastAsia="Times New Roman" w:hAnsi="Book Antiqua"/>
          <w:bCs/>
          <w:color w:val="222222"/>
          <w:sz w:val="28"/>
          <w:szCs w:val="28"/>
        </w:rPr>
        <w:t xml:space="preserve">Palabras clave:  Competencia judicial </w:t>
      </w:r>
      <w:r>
        <w:rPr>
          <w:rFonts w:ascii="Book Antiqua" w:eastAsia="Times New Roman" w:hAnsi="Book Antiqua"/>
          <w:bCs/>
          <w:color w:val="222222"/>
          <w:sz w:val="28"/>
          <w:szCs w:val="28"/>
        </w:rPr>
        <w:t>E</w:t>
      </w:r>
      <w:r w:rsidRPr="006E61DB">
        <w:rPr>
          <w:rFonts w:ascii="Book Antiqua" w:eastAsia="Times New Roman" w:hAnsi="Book Antiqua"/>
          <w:bCs/>
          <w:color w:val="222222"/>
          <w:sz w:val="28"/>
          <w:szCs w:val="28"/>
        </w:rPr>
        <w:t xml:space="preserve">U; Reglamentos </w:t>
      </w:r>
      <w:r>
        <w:rPr>
          <w:rFonts w:ascii="Book Antiqua" w:eastAsia="Times New Roman" w:hAnsi="Book Antiqua"/>
          <w:bCs/>
          <w:color w:val="222222"/>
          <w:sz w:val="28"/>
          <w:szCs w:val="28"/>
        </w:rPr>
        <w:t>E</w:t>
      </w:r>
      <w:r w:rsidRPr="006E61DB">
        <w:rPr>
          <w:rFonts w:ascii="Book Antiqua" w:eastAsia="Times New Roman" w:hAnsi="Book Antiqua"/>
          <w:bCs/>
          <w:color w:val="222222"/>
          <w:sz w:val="28"/>
          <w:szCs w:val="28"/>
        </w:rPr>
        <w:t xml:space="preserve">U-Derecho romano; </w:t>
      </w:r>
      <w:proofErr w:type="spellStart"/>
      <w:r w:rsidRPr="006E61DB">
        <w:rPr>
          <w:rFonts w:ascii="Book Antiqua" w:eastAsia="Times New Roman" w:hAnsi="Book Antiqua"/>
          <w:bCs/>
          <w:color w:val="222222"/>
          <w:sz w:val="28"/>
          <w:szCs w:val="28"/>
        </w:rPr>
        <w:t>forum</w:t>
      </w:r>
      <w:proofErr w:type="spellEnd"/>
      <w:r w:rsidRPr="006E61DB">
        <w:rPr>
          <w:rFonts w:ascii="Book Antiqua" w:eastAsia="Times New Roman" w:hAnsi="Book Antiqua"/>
          <w:bCs/>
          <w:color w:val="222222"/>
          <w:sz w:val="28"/>
          <w:szCs w:val="28"/>
        </w:rPr>
        <w:t xml:space="preserve"> </w:t>
      </w:r>
      <w:proofErr w:type="spellStart"/>
      <w:r w:rsidRPr="006E61DB">
        <w:rPr>
          <w:rFonts w:ascii="Book Antiqua" w:eastAsia="Times New Roman" w:hAnsi="Book Antiqua"/>
          <w:bCs/>
          <w:color w:val="222222"/>
          <w:sz w:val="28"/>
          <w:szCs w:val="28"/>
        </w:rPr>
        <w:t>domicilii</w:t>
      </w:r>
      <w:proofErr w:type="spellEnd"/>
      <w:r w:rsidRPr="006E61DB">
        <w:rPr>
          <w:rFonts w:ascii="Book Antiqua" w:eastAsia="Times New Roman" w:hAnsi="Book Antiqua"/>
          <w:bCs/>
          <w:color w:val="222222"/>
          <w:sz w:val="28"/>
          <w:szCs w:val="28"/>
        </w:rPr>
        <w:t xml:space="preserve"> y UE.  </w:t>
      </w:r>
    </w:p>
    <w:p w14:paraId="2ABED75A" w14:textId="77777777" w:rsidR="004A00AB" w:rsidRPr="00B56DB3" w:rsidRDefault="004A00AB" w:rsidP="004A00AB">
      <w:pPr>
        <w:spacing w:line="360" w:lineRule="auto"/>
        <w:ind w:firstLine="708"/>
        <w:jc w:val="both"/>
        <w:rPr>
          <w:rFonts w:ascii="Book Antiqua" w:hAnsi="Book Antiqua"/>
          <w:sz w:val="28"/>
          <w:szCs w:val="28"/>
          <w:lang w:val="en-US"/>
        </w:rPr>
      </w:pPr>
      <w:r w:rsidRPr="006E61DB">
        <w:rPr>
          <w:rFonts w:ascii="Book Antiqua" w:hAnsi="Book Antiqua"/>
          <w:sz w:val="28"/>
          <w:szCs w:val="28"/>
          <w:lang w:val="en-GB"/>
        </w:rPr>
        <w:t xml:space="preserve">The enactment of </w:t>
      </w:r>
      <w:r>
        <w:rPr>
          <w:rFonts w:ascii="Book Antiqua" w:hAnsi="Book Antiqua"/>
          <w:sz w:val="28"/>
          <w:szCs w:val="28"/>
          <w:lang w:val="en-GB"/>
        </w:rPr>
        <w:t>E</w:t>
      </w:r>
      <w:r w:rsidRPr="006E61DB">
        <w:rPr>
          <w:rFonts w:ascii="Book Antiqua" w:hAnsi="Book Antiqua"/>
          <w:sz w:val="28"/>
          <w:szCs w:val="28"/>
          <w:lang w:val="en-GB"/>
        </w:rPr>
        <w:t xml:space="preserve">U Regulations in the field of jurisdictional competence has proved its undeniable Justinian origin. This Roman presence has been confirmed by </w:t>
      </w:r>
      <w:proofErr w:type="spellStart"/>
      <w:r w:rsidRPr="006E61DB">
        <w:rPr>
          <w:rFonts w:ascii="Book Antiqua" w:hAnsi="Book Antiqua"/>
          <w:sz w:val="28"/>
          <w:szCs w:val="28"/>
          <w:lang w:val="en-GB"/>
        </w:rPr>
        <w:t>CJEU</w:t>
      </w:r>
      <w:proofErr w:type="spellEnd"/>
      <w:r w:rsidRPr="006E61DB">
        <w:rPr>
          <w:rFonts w:ascii="Book Antiqua" w:hAnsi="Book Antiqua"/>
          <w:sz w:val="28"/>
          <w:szCs w:val="28"/>
          <w:lang w:val="en-GB"/>
        </w:rPr>
        <w:t xml:space="preserve"> case-law, as some of its decisions refer to the concepts and competence rules that were applied by Roman jurists. The habitual address as main criterion for the determination of the jurisdictional competence has been completed, not only by the remittance to the </w:t>
      </w:r>
      <w:r w:rsidRPr="006E61DB">
        <w:rPr>
          <w:rFonts w:ascii="Book Antiqua" w:hAnsi="Book Antiqua"/>
          <w:i/>
          <w:iCs/>
          <w:sz w:val="28"/>
          <w:szCs w:val="28"/>
          <w:lang w:val="en-GB"/>
        </w:rPr>
        <w:t xml:space="preserve">forum rei </w:t>
      </w:r>
      <w:proofErr w:type="spellStart"/>
      <w:r w:rsidRPr="006E61DB">
        <w:rPr>
          <w:rFonts w:ascii="Book Antiqua" w:hAnsi="Book Antiqua"/>
          <w:i/>
          <w:iCs/>
          <w:sz w:val="28"/>
          <w:szCs w:val="28"/>
          <w:lang w:val="en-GB"/>
        </w:rPr>
        <w:t>sitae</w:t>
      </w:r>
      <w:proofErr w:type="spellEnd"/>
      <w:r w:rsidRPr="006E61DB">
        <w:rPr>
          <w:rFonts w:ascii="Book Antiqua" w:hAnsi="Book Antiqua"/>
          <w:i/>
          <w:iCs/>
          <w:sz w:val="28"/>
          <w:szCs w:val="28"/>
          <w:lang w:val="en-GB"/>
        </w:rPr>
        <w:t xml:space="preserve">, forum delicti </w:t>
      </w:r>
      <w:proofErr w:type="spellStart"/>
      <w:r w:rsidRPr="006E61DB">
        <w:rPr>
          <w:rFonts w:ascii="Book Antiqua" w:hAnsi="Book Antiqua"/>
          <w:i/>
          <w:iCs/>
          <w:sz w:val="28"/>
          <w:szCs w:val="28"/>
          <w:lang w:val="en-GB"/>
        </w:rPr>
        <w:t>commissi</w:t>
      </w:r>
      <w:proofErr w:type="spellEnd"/>
      <w:r w:rsidRPr="006E61DB">
        <w:rPr>
          <w:rFonts w:ascii="Book Antiqua" w:hAnsi="Book Antiqua"/>
          <w:i/>
          <w:iCs/>
          <w:sz w:val="28"/>
          <w:szCs w:val="28"/>
          <w:lang w:val="en-GB"/>
        </w:rPr>
        <w:t xml:space="preserve"> </w:t>
      </w:r>
      <w:r w:rsidRPr="006E61DB">
        <w:rPr>
          <w:rFonts w:ascii="Book Antiqua" w:hAnsi="Book Antiqua"/>
          <w:sz w:val="28"/>
          <w:szCs w:val="28"/>
          <w:lang w:val="en-GB"/>
        </w:rPr>
        <w:t>or</w:t>
      </w:r>
      <w:r w:rsidRPr="006E61DB">
        <w:rPr>
          <w:rFonts w:ascii="Book Antiqua" w:hAnsi="Book Antiqua"/>
          <w:i/>
          <w:iCs/>
          <w:sz w:val="28"/>
          <w:szCs w:val="28"/>
          <w:lang w:val="en-GB"/>
        </w:rPr>
        <w:t xml:space="preserve"> forum </w:t>
      </w:r>
      <w:proofErr w:type="spellStart"/>
      <w:r w:rsidRPr="006E61DB">
        <w:rPr>
          <w:rFonts w:ascii="Book Antiqua" w:hAnsi="Book Antiqua"/>
          <w:i/>
          <w:iCs/>
          <w:sz w:val="28"/>
          <w:szCs w:val="28"/>
          <w:lang w:val="en-GB"/>
        </w:rPr>
        <w:t>solutionis</w:t>
      </w:r>
      <w:proofErr w:type="spellEnd"/>
      <w:r w:rsidRPr="006E61DB">
        <w:rPr>
          <w:rFonts w:ascii="Book Antiqua" w:hAnsi="Book Antiqua"/>
          <w:sz w:val="28"/>
          <w:szCs w:val="28"/>
          <w:lang w:val="en-GB"/>
        </w:rPr>
        <w:t>, but also by new concepts as "habitual residence" (that complement "address"). We can perceive that the EU legislator needs to apply exceptional or privileged competence criteria with the aim of adapting Roman basis to the new construction of XXI century laws. However, these are undoubtedly an adaptation of classical criteria developed two thousand years ago.</w:t>
      </w:r>
    </w:p>
    <w:p w14:paraId="76586997" w14:textId="77777777" w:rsidR="004A00AB" w:rsidRPr="006E61DB" w:rsidRDefault="004A00AB" w:rsidP="004A00AB">
      <w:pPr>
        <w:spacing w:line="360" w:lineRule="auto"/>
        <w:jc w:val="both"/>
        <w:rPr>
          <w:rFonts w:ascii="Book Antiqua" w:hAnsi="Book Antiqua"/>
          <w:sz w:val="28"/>
          <w:szCs w:val="28"/>
          <w:lang w:val="en-GB"/>
        </w:rPr>
      </w:pPr>
      <w:r w:rsidRPr="006E61DB">
        <w:rPr>
          <w:rFonts w:ascii="Book Antiqua" w:hAnsi="Book Antiqua"/>
          <w:sz w:val="28"/>
          <w:szCs w:val="28"/>
          <w:lang w:val="en-GB"/>
        </w:rPr>
        <w:t>Keywords:</w:t>
      </w:r>
      <w:r>
        <w:rPr>
          <w:rFonts w:ascii="Book Antiqua" w:hAnsi="Book Antiqua"/>
          <w:sz w:val="28"/>
          <w:szCs w:val="28"/>
          <w:lang w:val="en-GB"/>
        </w:rPr>
        <w:t xml:space="preserve"> </w:t>
      </w:r>
      <w:r w:rsidRPr="006E61DB">
        <w:rPr>
          <w:rFonts w:ascii="Book Antiqua" w:hAnsi="Book Antiqua"/>
          <w:sz w:val="28"/>
          <w:szCs w:val="28"/>
          <w:lang w:val="en-GB"/>
        </w:rPr>
        <w:t xml:space="preserve">EU competence courts; UE Regulation; Roman Law, forum </w:t>
      </w:r>
      <w:proofErr w:type="spellStart"/>
      <w:r w:rsidRPr="006E61DB">
        <w:rPr>
          <w:rFonts w:ascii="Book Antiqua" w:hAnsi="Book Antiqua"/>
          <w:sz w:val="28"/>
          <w:szCs w:val="28"/>
          <w:lang w:val="en-GB"/>
        </w:rPr>
        <w:t>domicilii</w:t>
      </w:r>
      <w:proofErr w:type="spellEnd"/>
      <w:r w:rsidRPr="006E61DB">
        <w:rPr>
          <w:rFonts w:ascii="Book Antiqua" w:hAnsi="Book Antiqua"/>
          <w:sz w:val="28"/>
          <w:szCs w:val="28"/>
          <w:lang w:val="en-GB"/>
        </w:rPr>
        <w:t>, European Union.</w:t>
      </w:r>
    </w:p>
    <w:p w14:paraId="38D7B427" w14:textId="77777777" w:rsidR="004A00AB" w:rsidRPr="00B56DB3" w:rsidRDefault="004A00AB" w:rsidP="004A00AB">
      <w:pPr>
        <w:spacing w:line="360" w:lineRule="auto"/>
        <w:jc w:val="both"/>
        <w:rPr>
          <w:rFonts w:ascii="Book Antiqua" w:hAnsi="Book Antiqua"/>
          <w:i/>
          <w:sz w:val="28"/>
          <w:szCs w:val="28"/>
          <w:lang w:val="en-US"/>
        </w:rPr>
      </w:pPr>
    </w:p>
    <w:p w14:paraId="4626FE08"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II.- Introducción</w:t>
      </w:r>
    </w:p>
    <w:p w14:paraId="60EC45C8" w14:textId="77777777" w:rsidR="004A00AB" w:rsidRPr="006E61DB" w:rsidRDefault="004A00AB" w:rsidP="004A00AB">
      <w:pPr>
        <w:spacing w:after="100" w:afterAutospacing="1" w:line="360" w:lineRule="auto"/>
        <w:ind w:firstLine="708"/>
        <w:jc w:val="both"/>
        <w:rPr>
          <w:rFonts w:ascii="Book Antiqua" w:hAnsi="Book Antiqua"/>
          <w:sz w:val="28"/>
          <w:szCs w:val="28"/>
        </w:rPr>
      </w:pPr>
      <w:r w:rsidRPr="006E61DB">
        <w:rPr>
          <w:rFonts w:ascii="Book Antiqua" w:hAnsi="Book Antiqua"/>
          <w:sz w:val="28"/>
          <w:szCs w:val="28"/>
        </w:rPr>
        <w:t xml:space="preserve">La regulación reglamentaria de la UE se ha servido de una redacción cercana a ciudadanos y juristas comunitarios de manera que, superadas las primeras desconfianzas y recelos, fuese acogida </w:t>
      </w:r>
      <w:r w:rsidRPr="006E61DB">
        <w:rPr>
          <w:rFonts w:ascii="Book Antiqua" w:hAnsi="Book Antiqua"/>
          <w:sz w:val="28"/>
          <w:szCs w:val="28"/>
        </w:rPr>
        <w:lastRenderedPageBreak/>
        <w:t>con éxito</w:t>
      </w:r>
      <w:r w:rsidRPr="006E61DB">
        <w:rPr>
          <w:rStyle w:val="Refdenotaalpie"/>
          <w:rFonts w:ascii="Book Antiqua" w:hAnsi="Book Antiqua"/>
          <w:sz w:val="28"/>
          <w:szCs w:val="28"/>
        </w:rPr>
        <w:footnoteReference w:id="2"/>
      </w:r>
      <w:r w:rsidRPr="006E61DB">
        <w:rPr>
          <w:rFonts w:ascii="Book Antiqua" w:hAnsi="Book Antiqua"/>
          <w:sz w:val="28"/>
          <w:szCs w:val="28"/>
        </w:rPr>
        <w:t>. Se podría pensar que el legislador triunfaría porque partía de la experiencia de las múltiples comisiones de especialistas, como la Comisión de Derecho Contractual Europeo</w:t>
      </w:r>
      <w:r w:rsidRPr="006E61DB">
        <w:rPr>
          <w:rStyle w:val="Refdenotaalpie"/>
          <w:rFonts w:ascii="Book Antiqua" w:hAnsi="Book Antiqua"/>
          <w:sz w:val="28"/>
          <w:szCs w:val="28"/>
        </w:rPr>
        <w:footnoteReference w:id="3"/>
      </w:r>
      <w:r w:rsidRPr="006E61DB">
        <w:rPr>
          <w:rFonts w:ascii="Book Antiqua" w:hAnsi="Book Antiqua"/>
          <w:sz w:val="28"/>
          <w:szCs w:val="28"/>
        </w:rPr>
        <w:t xml:space="preserve">, que durante años trabajaron para buscar textos y regulaciones comunes, pero la </w:t>
      </w:r>
      <w:r w:rsidRPr="006E61DB">
        <w:rPr>
          <w:rFonts w:ascii="Book Antiqua" w:hAnsi="Book Antiqua"/>
          <w:sz w:val="28"/>
          <w:szCs w:val="28"/>
        </w:rPr>
        <w:lastRenderedPageBreak/>
        <w:t xml:space="preserve">explicación es mucho más sencilla.  Tanto las Comisiones creadas durante el siglo pasado, como las que se han creado recientemente para redactar las directivas y reglamentos comunitarios, han partido de una herencia jurídica y un </w:t>
      </w:r>
      <w:r w:rsidRPr="001A6580">
        <w:rPr>
          <w:rFonts w:ascii="Book Antiqua" w:hAnsi="Book Antiqua"/>
          <w:sz w:val="28"/>
          <w:szCs w:val="28"/>
        </w:rPr>
        <w:t xml:space="preserve">material </w:t>
      </w:r>
      <w:r w:rsidRPr="006E61DB">
        <w:rPr>
          <w:rFonts w:ascii="Book Antiqua" w:hAnsi="Book Antiqua"/>
          <w:sz w:val="28"/>
          <w:szCs w:val="28"/>
        </w:rPr>
        <w:t xml:space="preserve">comunes que no son otros que los recogidos en el </w:t>
      </w:r>
      <w:r w:rsidRPr="006E61DB">
        <w:rPr>
          <w:rFonts w:ascii="Book Antiqua" w:hAnsi="Book Antiqua"/>
          <w:i/>
          <w:sz w:val="28"/>
          <w:szCs w:val="28"/>
        </w:rPr>
        <w:t xml:space="preserve">Corpus </w:t>
      </w:r>
      <w:proofErr w:type="gramStart"/>
      <w:r w:rsidRPr="006E61DB">
        <w:rPr>
          <w:rFonts w:ascii="Book Antiqua" w:hAnsi="Book Antiqua"/>
          <w:i/>
          <w:sz w:val="28"/>
          <w:szCs w:val="28"/>
        </w:rPr>
        <w:t xml:space="preserve">Iuris  </w:t>
      </w:r>
      <w:r w:rsidRPr="006E61DB">
        <w:rPr>
          <w:rFonts w:ascii="Book Antiqua" w:hAnsi="Book Antiqua"/>
          <w:sz w:val="28"/>
          <w:szCs w:val="28"/>
        </w:rPr>
        <w:t>justinianeo</w:t>
      </w:r>
      <w:proofErr w:type="gramEnd"/>
      <w:r w:rsidRPr="006E61DB">
        <w:rPr>
          <w:rFonts w:ascii="Book Antiqua" w:hAnsi="Book Antiqua"/>
          <w:sz w:val="28"/>
          <w:szCs w:val="28"/>
        </w:rPr>
        <w:t xml:space="preserve">. Un </w:t>
      </w:r>
      <w:r w:rsidRPr="001A6580">
        <w:rPr>
          <w:rFonts w:ascii="Book Antiqua" w:hAnsi="Book Antiqua"/>
          <w:sz w:val="28"/>
          <w:szCs w:val="28"/>
        </w:rPr>
        <w:t>material jurídico</w:t>
      </w:r>
      <w:r w:rsidRPr="006E61DB">
        <w:rPr>
          <w:rFonts w:ascii="Book Antiqua" w:hAnsi="Book Antiqua"/>
          <w:sz w:val="28"/>
          <w:szCs w:val="28"/>
        </w:rPr>
        <w:t xml:space="preserve"> que se reelaboró en la Edad Media gracias a la obra de los primeros centros de estudio, configurando el </w:t>
      </w:r>
      <w:r w:rsidRPr="006E61DB">
        <w:rPr>
          <w:rFonts w:ascii="Book Antiqua" w:hAnsi="Book Antiqua"/>
          <w:i/>
          <w:sz w:val="28"/>
          <w:szCs w:val="28"/>
        </w:rPr>
        <w:t xml:space="preserve">ius </w:t>
      </w:r>
      <w:proofErr w:type="spellStart"/>
      <w:r w:rsidRPr="006E61DB">
        <w:rPr>
          <w:rFonts w:ascii="Book Antiqua" w:hAnsi="Book Antiqua"/>
          <w:i/>
          <w:sz w:val="28"/>
          <w:szCs w:val="28"/>
        </w:rPr>
        <w:t>commune</w:t>
      </w:r>
      <w:proofErr w:type="spellEnd"/>
      <w:r w:rsidRPr="006E61DB">
        <w:rPr>
          <w:rFonts w:ascii="Book Antiqua" w:hAnsi="Book Antiqua"/>
          <w:sz w:val="28"/>
          <w:szCs w:val="28"/>
        </w:rPr>
        <w:t xml:space="preserve"> utilizado en toda Europa durante siglos y que, sólo posteriormente, experimentaría </w:t>
      </w:r>
      <w:r>
        <w:rPr>
          <w:rFonts w:ascii="Book Antiqua" w:hAnsi="Book Antiqua"/>
          <w:sz w:val="28"/>
          <w:szCs w:val="28"/>
        </w:rPr>
        <w:t xml:space="preserve">una </w:t>
      </w:r>
      <w:r w:rsidRPr="006E61DB">
        <w:rPr>
          <w:rFonts w:ascii="Book Antiqua" w:hAnsi="Book Antiqua"/>
          <w:sz w:val="28"/>
          <w:szCs w:val="28"/>
        </w:rPr>
        <w:t>evolución diferente en los diversos reinos. Pero ese Derecho común, resultado de una larga época de unión de Derecho romano y Derecho canónico, había de tener su fin. Los nacionalismos propiciaron una dispersión normativa que surgía como rechazo al elemento unificador imperial. A ello contribuyeron también las costumbres y derechos locales, pero, especialmente, la caída del Antiguo Régimen de la mano de la Revolución Francesa, surgida como reacción a siglos de inmovilismo en lo político, social y económico, aportando nuevas ideas y costumbres</w:t>
      </w:r>
      <w:r w:rsidRPr="006E61DB">
        <w:rPr>
          <w:rStyle w:val="Refdenotaalpie"/>
          <w:rFonts w:ascii="Book Antiqua" w:hAnsi="Book Antiqua"/>
          <w:sz w:val="28"/>
          <w:szCs w:val="28"/>
        </w:rPr>
        <w:footnoteReference w:id="4"/>
      </w:r>
      <w:r w:rsidRPr="006E61DB">
        <w:rPr>
          <w:rFonts w:ascii="Book Antiqua" w:hAnsi="Book Antiqua"/>
          <w:sz w:val="28"/>
          <w:szCs w:val="28"/>
        </w:rPr>
        <w:t xml:space="preserve">. A pesar de lo que </w:t>
      </w:r>
      <w:r w:rsidRPr="006E61DB">
        <w:rPr>
          <w:rFonts w:ascii="Book Antiqua" w:hAnsi="Book Antiqua"/>
          <w:sz w:val="28"/>
          <w:szCs w:val="28"/>
        </w:rPr>
        <w:lastRenderedPageBreak/>
        <w:t>supuso de unificación jurídica la promulgación de los códigos napoleónicos, de amplia difusión</w:t>
      </w:r>
      <w:r>
        <w:rPr>
          <w:rFonts w:ascii="Book Antiqua" w:hAnsi="Book Antiqua"/>
          <w:sz w:val="28"/>
          <w:szCs w:val="28"/>
        </w:rPr>
        <w:t xml:space="preserve"> </w:t>
      </w:r>
      <w:r w:rsidRPr="006E61DB">
        <w:rPr>
          <w:rFonts w:ascii="Book Antiqua" w:hAnsi="Book Antiqua"/>
          <w:sz w:val="28"/>
          <w:szCs w:val="28"/>
        </w:rPr>
        <w:t>especialmente en el sur de Europa, los nacionalismos trajeron la diversidad, como una muestra de reafirmación de lo particular frente a la unidad regia o imperial existente durante siglos. Suponía llevar a sus más altas cotas lo diferencial, lo que podía mostrar una originalidad que reflejase unas raíces distintas a las de los demás territorios circundantes.</w:t>
      </w:r>
      <w:r>
        <w:rPr>
          <w:rFonts w:ascii="Book Antiqua" w:hAnsi="Book Antiqua"/>
          <w:sz w:val="28"/>
          <w:szCs w:val="28"/>
        </w:rPr>
        <w:t xml:space="preserve"> Con una mezcla de romanticismo y de interés político independentista, se postulaba v</w:t>
      </w:r>
      <w:r w:rsidRPr="006E61DB">
        <w:rPr>
          <w:rFonts w:ascii="Book Antiqua" w:hAnsi="Book Antiqua"/>
          <w:sz w:val="28"/>
          <w:szCs w:val="28"/>
        </w:rPr>
        <w:t xml:space="preserve">olver a las costumbres del pueblo, a lo autóctono, a lo que no consiguieron cambiar los invasores o la victoria de Carlos V en </w:t>
      </w:r>
      <w:proofErr w:type="spellStart"/>
      <w:r w:rsidRPr="006E61DB">
        <w:rPr>
          <w:rFonts w:ascii="Book Antiqua" w:hAnsi="Book Antiqua"/>
          <w:sz w:val="28"/>
          <w:szCs w:val="28"/>
        </w:rPr>
        <w:t>Mülberg</w:t>
      </w:r>
      <w:proofErr w:type="spellEnd"/>
      <w:r w:rsidRPr="006E61DB">
        <w:rPr>
          <w:rFonts w:ascii="Book Antiqua" w:hAnsi="Book Antiqua"/>
          <w:sz w:val="28"/>
          <w:szCs w:val="28"/>
        </w:rPr>
        <w:t>. Esta forma de pensar perjudicó mucho a la idea de una Europa unida pues rompía con la existencia de unas normas válidas para la mayor parte del continente</w:t>
      </w:r>
      <w:r w:rsidRPr="006E61DB">
        <w:rPr>
          <w:rStyle w:val="Refdenotaalpie"/>
          <w:rFonts w:ascii="Book Antiqua" w:hAnsi="Book Antiqua"/>
          <w:sz w:val="28"/>
          <w:szCs w:val="28"/>
        </w:rPr>
        <w:footnoteReference w:id="5"/>
      </w:r>
      <w:r w:rsidRPr="006E61DB">
        <w:rPr>
          <w:rFonts w:ascii="Book Antiqua" w:hAnsi="Book Antiqua"/>
          <w:sz w:val="28"/>
          <w:szCs w:val="28"/>
        </w:rPr>
        <w:t xml:space="preserve">. Los estudiantes y profesores dejaron de ir, como en otros tiempos, de una universidad a otra, estudiar o ejercer su magisterio con un idioma común, el latín y unas normas también comunes. A pesar de todo, esta ruptura con el Derecho romano no fue tan radical como ellos creían porque, como la experiencia demostró, los principios y costumbres de los diversos pueblos tenían unas raíces muy parecidas, todas ellas herencia del Derecho romano. Igual sucedió con la Codificación que trajo la Revolución francesa. Ciertamente, supuso ésta una gran ruptura con la época precedente en lo social y político, pero las instituciones que regularon tenían un origen nítido: el Corpus justinianeo. Al final, los </w:t>
      </w:r>
      <w:r w:rsidRPr="006E61DB">
        <w:rPr>
          <w:rFonts w:ascii="Book Antiqua" w:hAnsi="Book Antiqua"/>
          <w:sz w:val="28"/>
          <w:szCs w:val="28"/>
        </w:rPr>
        <w:lastRenderedPageBreak/>
        <w:t>ciudadanos de todos los pueblos de la vieja Europa estaban condenados a entenderse. No podía ser de otro modo, al seguir teniendo relaciones familiares y comerciales con personas de países limítrofes</w:t>
      </w:r>
      <w:r>
        <w:rPr>
          <w:rFonts w:ascii="Book Antiqua" w:hAnsi="Book Antiqua"/>
          <w:sz w:val="28"/>
          <w:szCs w:val="28"/>
        </w:rPr>
        <w:t xml:space="preserve">. Seguía siendo necesario </w:t>
      </w:r>
      <w:r w:rsidRPr="006E61DB">
        <w:rPr>
          <w:rFonts w:ascii="Book Antiqua" w:hAnsi="Book Antiqua"/>
          <w:sz w:val="28"/>
          <w:szCs w:val="28"/>
        </w:rPr>
        <w:t>resolver incumplimientos contractuales</w:t>
      </w:r>
      <w:r>
        <w:rPr>
          <w:rFonts w:ascii="Book Antiqua" w:hAnsi="Book Antiqua"/>
          <w:sz w:val="28"/>
          <w:szCs w:val="28"/>
        </w:rPr>
        <w:t xml:space="preserve"> </w:t>
      </w:r>
      <w:r w:rsidRPr="006E61DB">
        <w:rPr>
          <w:rFonts w:ascii="Book Antiqua" w:hAnsi="Book Antiqua"/>
          <w:sz w:val="28"/>
          <w:szCs w:val="28"/>
        </w:rPr>
        <w:t xml:space="preserve">recurriendo a normas conocidas por todos, como eran las de reclamación de daños, recogidas en la antigua Ley </w:t>
      </w:r>
      <w:proofErr w:type="spellStart"/>
      <w:r w:rsidRPr="006E61DB">
        <w:rPr>
          <w:rFonts w:ascii="Book Antiqua" w:hAnsi="Book Antiqua"/>
          <w:sz w:val="28"/>
          <w:szCs w:val="28"/>
        </w:rPr>
        <w:t>Aquilia</w:t>
      </w:r>
      <w:proofErr w:type="spellEnd"/>
      <w:r w:rsidRPr="006E61DB">
        <w:rPr>
          <w:rFonts w:ascii="Book Antiqua" w:hAnsi="Book Antiqua"/>
          <w:sz w:val="28"/>
          <w:szCs w:val="28"/>
        </w:rPr>
        <w:t xml:space="preserve"> y acciones derivadas. De este modo se fue reelaborando la idea de una Europa unida, como soñase Carlomagno, aunque el impulso decisivo viniese de las dolorosas heridas de las dos Grandes Guerras y la necesidad de unirse para gestionar mejor la economía europea, como señalase Robert Schuman</w:t>
      </w:r>
      <w:r>
        <w:rPr>
          <w:rFonts w:ascii="Book Antiqua" w:hAnsi="Book Antiqua"/>
          <w:sz w:val="28"/>
          <w:szCs w:val="28"/>
        </w:rPr>
        <w:t>. Siguiendo esta idea, es innegable q</w:t>
      </w:r>
      <w:r w:rsidRPr="006E61DB">
        <w:rPr>
          <w:rFonts w:ascii="Book Antiqua" w:hAnsi="Book Antiqua"/>
          <w:sz w:val="28"/>
          <w:szCs w:val="28"/>
        </w:rPr>
        <w:t>ue la Unión Europea está realizando, desde sus orígenes, un inmenso esfuerzo legislativo de coordinación normativa</w:t>
      </w:r>
      <w:r w:rsidRPr="006E61DB">
        <w:rPr>
          <w:rStyle w:val="Refdenotaalpie"/>
          <w:rFonts w:ascii="Book Antiqua" w:hAnsi="Book Antiqua"/>
          <w:sz w:val="28"/>
          <w:szCs w:val="28"/>
        </w:rPr>
        <w:footnoteReference w:id="6"/>
      </w:r>
      <w:r w:rsidRPr="006E61DB">
        <w:rPr>
          <w:rFonts w:ascii="Book Antiqua" w:hAnsi="Book Antiqua"/>
          <w:sz w:val="28"/>
          <w:szCs w:val="28"/>
        </w:rPr>
        <w:t xml:space="preserve">. No se trata sólo de un recuerdo o invocación a una tradición común, se trata de algo mucho más concreto, como es aprovechar la experiencia recogida en principios y soluciones dados por los juristas clásicos a los problemas que supuso la “globalización” romana. De este modo, no pueden resultar extrañas las soluciones dadas por los legisladores comunitarios a temas como la regulación de obligaciones contractuales o extracontractuales, de sucesiones o de competencia jurisdiccional, cuando son muy similares a las que estudiaron en sus universidades durante sus estudios de Derecho Romano. Prueba </w:t>
      </w:r>
      <w:r w:rsidRPr="006E61DB">
        <w:rPr>
          <w:rFonts w:ascii="Book Antiqua" w:hAnsi="Book Antiqua"/>
          <w:sz w:val="28"/>
          <w:szCs w:val="28"/>
        </w:rPr>
        <w:lastRenderedPageBreak/>
        <w:t xml:space="preserve">evidente de esta afirmación es que se deslizan por los Reglamentos comunitarios elementos tan esenciales en materia procesal como los fueros competenciales, 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i/>
          <w:sz w:val="28"/>
          <w:szCs w:val="28"/>
        </w:rPr>
        <w:t xml:space="preserve">, locus </w:t>
      </w:r>
      <w:proofErr w:type="spellStart"/>
      <w:r w:rsidRPr="006E61DB">
        <w:rPr>
          <w:rFonts w:ascii="Book Antiqua" w:hAnsi="Book Antiqua"/>
          <w:i/>
          <w:sz w:val="28"/>
          <w:szCs w:val="28"/>
        </w:rPr>
        <w:t>solutionis</w:t>
      </w:r>
      <w:proofErr w:type="spellEnd"/>
      <w:r w:rsidRPr="006E61DB">
        <w:rPr>
          <w:rFonts w:ascii="Book Antiqua" w:hAnsi="Book Antiqua"/>
          <w:i/>
          <w:sz w:val="28"/>
          <w:szCs w:val="28"/>
        </w:rPr>
        <w:t xml:space="preserve"> o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rei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sitae</w:t>
      </w:r>
      <w:proofErr w:type="spellEnd"/>
      <w:r w:rsidRPr="006E61DB">
        <w:rPr>
          <w:rFonts w:ascii="Book Antiqua" w:hAnsi="Book Antiqua"/>
          <w:sz w:val="28"/>
          <w:szCs w:val="28"/>
        </w:rPr>
        <w:t xml:space="preserve">. Ciertamente, se introducen conceptos jurídicos que no utilizaban los juristas romanos, como es el de “residencia habitual” que guarda relación con 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sz w:val="28"/>
          <w:szCs w:val="28"/>
        </w:rPr>
        <w:t>, aunque con matices diferenciales de importancia para adaptarse a los tiempos actuales.</w:t>
      </w:r>
      <w:r w:rsidRPr="006E61DB">
        <w:rPr>
          <w:rFonts w:ascii="Book Antiqua" w:hAnsi="Book Antiqua"/>
          <w:strike/>
          <w:sz w:val="28"/>
          <w:szCs w:val="28"/>
        </w:rPr>
        <w:t xml:space="preserve"> </w:t>
      </w:r>
    </w:p>
    <w:p w14:paraId="633DF16E" w14:textId="77777777" w:rsidR="004A00AB" w:rsidRPr="006E61DB" w:rsidRDefault="004A00AB" w:rsidP="004A00AB">
      <w:pPr>
        <w:spacing w:after="100" w:afterAutospacing="1" w:line="360" w:lineRule="auto"/>
        <w:ind w:firstLine="708"/>
        <w:jc w:val="both"/>
        <w:rPr>
          <w:rFonts w:ascii="Book Antiqua" w:hAnsi="Book Antiqua"/>
          <w:sz w:val="28"/>
          <w:szCs w:val="28"/>
        </w:rPr>
      </w:pPr>
      <w:r w:rsidRPr="006E61DB">
        <w:rPr>
          <w:rFonts w:ascii="Book Antiqua" w:hAnsi="Book Antiqua"/>
          <w:sz w:val="28"/>
          <w:szCs w:val="28"/>
        </w:rPr>
        <w:t xml:space="preserve">El Convenio de Bruselas, relativo a la competencia judicial y la ejecución de resoluciones judiciales en materia civil y mercantil, suscrito el 27 de septiembre de 1968 por los países firmantes del Tratado constitutivo de la Comunidad Económica Europea, fue revisado en varias ocasiones, como en 22 de diciembre de 2000, dando lugar al que se denominó Reglamento (CE) </w:t>
      </w:r>
      <w:proofErr w:type="spellStart"/>
      <w:r w:rsidRPr="006E61DB">
        <w:rPr>
          <w:rFonts w:ascii="Book Antiqua" w:hAnsi="Book Antiqua"/>
          <w:sz w:val="28"/>
          <w:szCs w:val="28"/>
        </w:rPr>
        <w:t>nº</w:t>
      </w:r>
      <w:proofErr w:type="spellEnd"/>
      <w:r w:rsidRPr="006E61DB">
        <w:rPr>
          <w:rFonts w:ascii="Book Antiqua" w:hAnsi="Book Antiqua"/>
          <w:sz w:val="28"/>
          <w:szCs w:val="28"/>
        </w:rPr>
        <w:t xml:space="preserve"> 44/2001, que sustituía al de Bruselas y se denominó Bruselas I. En la primera década del presente siglo también se aprobaron los principales Reglamentos en materia obligacional, como el Reglamento </w:t>
      </w:r>
      <w:proofErr w:type="spellStart"/>
      <w:r w:rsidRPr="006E61DB">
        <w:rPr>
          <w:rFonts w:ascii="Book Antiqua" w:hAnsi="Book Antiqua"/>
          <w:sz w:val="28"/>
          <w:szCs w:val="28"/>
        </w:rPr>
        <w:t>nº</w:t>
      </w:r>
      <w:proofErr w:type="spellEnd"/>
      <w:r w:rsidRPr="006E61DB">
        <w:rPr>
          <w:rFonts w:ascii="Book Antiqua" w:hAnsi="Book Antiqua"/>
          <w:sz w:val="28"/>
          <w:szCs w:val="28"/>
        </w:rPr>
        <w:t xml:space="preserve"> 864/2007 del Parlamento Europeo y del Consejo, de 11 de julio de 2007, relativo a la ley aplicable a las obligaciones extracontractuales, el llamado “Roma II”, acompañado del Reglamento (CE) </w:t>
      </w:r>
      <w:proofErr w:type="spellStart"/>
      <w:r w:rsidRPr="006E61DB">
        <w:rPr>
          <w:rFonts w:ascii="Book Antiqua" w:hAnsi="Book Antiqua"/>
          <w:sz w:val="28"/>
          <w:szCs w:val="28"/>
        </w:rPr>
        <w:t>nº</w:t>
      </w:r>
      <w:proofErr w:type="spellEnd"/>
      <w:r w:rsidRPr="006E61DB">
        <w:rPr>
          <w:rFonts w:ascii="Book Antiqua" w:hAnsi="Book Antiqua"/>
          <w:sz w:val="28"/>
          <w:szCs w:val="28"/>
        </w:rPr>
        <w:t xml:space="preserve"> 593/2008 del Parlamento Europeo y del Consejo</w:t>
      </w:r>
      <w:r>
        <w:rPr>
          <w:rFonts w:ascii="Book Antiqua" w:hAnsi="Book Antiqua"/>
          <w:sz w:val="28"/>
          <w:szCs w:val="28"/>
        </w:rPr>
        <w:t xml:space="preserve">, </w:t>
      </w:r>
      <w:r w:rsidRPr="006E61DB">
        <w:rPr>
          <w:rFonts w:ascii="Book Antiqua" w:hAnsi="Book Antiqua"/>
          <w:sz w:val="28"/>
          <w:szCs w:val="28"/>
        </w:rPr>
        <w:t xml:space="preserve">de 17 de junio de 2008, sobre la ley aplicable a las obligaciones contractuales (Roma I). Estos textos sobre los que gira la determinación de las leyes a aplicar en los supuestos de responsabilidad contractual y extracontractual habrían sido una falacia si no se hubieran acompañado del texto procesal actualizado cuya materia, ya desde la fundación de la Unión, se apuntaba como imprescindible para hacer efectiva la regulación de </w:t>
      </w:r>
      <w:r w:rsidRPr="006E61DB">
        <w:rPr>
          <w:rFonts w:ascii="Book Antiqua" w:hAnsi="Book Antiqua"/>
          <w:sz w:val="28"/>
          <w:szCs w:val="28"/>
        </w:rPr>
        <w:lastRenderedPageBreak/>
        <w:t xml:space="preserve">aquellos. Este texto es Reglamento </w:t>
      </w:r>
      <w:proofErr w:type="spellStart"/>
      <w:r w:rsidRPr="006E61DB">
        <w:rPr>
          <w:rFonts w:ascii="Book Antiqua" w:hAnsi="Book Antiqua"/>
          <w:sz w:val="28"/>
          <w:szCs w:val="28"/>
        </w:rPr>
        <w:t>nº</w:t>
      </w:r>
      <w:proofErr w:type="spellEnd"/>
      <w:r w:rsidRPr="006E61DB">
        <w:rPr>
          <w:rFonts w:ascii="Book Antiqua" w:hAnsi="Book Antiqua"/>
          <w:sz w:val="28"/>
          <w:szCs w:val="28"/>
        </w:rPr>
        <w:t xml:space="preserve"> 1215/2012 del Parlamento Europeo y del Consejo, de 12 de diciembre de 2012, relativo a </w:t>
      </w:r>
      <w:r w:rsidRPr="006E61DB">
        <w:rPr>
          <w:rFonts w:ascii="Book Antiqua" w:hAnsi="Book Antiqua"/>
          <w:i/>
          <w:iCs/>
          <w:sz w:val="28"/>
          <w:szCs w:val="28"/>
        </w:rPr>
        <w:t>la competencia judicial, el reconocimiento y la ejecución de resoluciones judiciales en materia civil y mercantil</w:t>
      </w:r>
      <w:r w:rsidRPr="006E61DB">
        <w:rPr>
          <w:rFonts w:ascii="Book Antiqua" w:hAnsi="Book Antiqua"/>
          <w:sz w:val="28"/>
          <w:szCs w:val="28"/>
        </w:rPr>
        <w:t xml:space="preserve"> (Bruselas I-Bis)</w:t>
      </w:r>
      <w:r w:rsidRPr="006E61DB">
        <w:rPr>
          <w:rStyle w:val="Refdenotaalpie"/>
          <w:rFonts w:ascii="Book Antiqua" w:hAnsi="Book Antiqua"/>
          <w:sz w:val="28"/>
          <w:szCs w:val="28"/>
        </w:rPr>
        <w:footnoteReference w:id="7"/>
      </w:r>
      <w:r w:rsidRPr="006E61DB">
        <w:rPr>
          <w:rFonts w:ascii="Book Antiqua" w:hAnsi="Book Antiqua"/>
          <w:sz w:val="28"/>
          <w:szCs w:val="28"/>
        </w:rPr>
        <w:t xml:space="preserve">.  Obviamente no son estos los únicos textos legales que dan vida a una </w:t>
      </w:r>
      <w:r w:rsidRPr="00703B2A">
        <w:rPr>
          <w:rFonts w:ascii="Book Antiqua" w:hAnsi="Book Antiqua"/>
          <w:sz w:val="28"/>
          <w:szCs w:val="28"/>
        </w:rPr>
        <w:t xml:space="preserve">Unión de ciudadanos y </w:t>
      </w:r>
      <w:r>
        <w:rPr>
          <w:rFonts w:ascii="Book Antiqua" w:hAnsi="Book Antiqua"/>
          <w:sz w:val="28"/>
          <w:szCs w:val="28"/>
        </w:rPr>
        <w:t xml:space="preserve">de </w:t>
      </w:r>
      <w:r w:rsidRPr="00703B2A">
        <w:rPr>
          <w:rFonts w:ascii="Book Antiqua" w:hAnsi="Book Antiqua"/>
          <w:sz w:val="28"/>
          <w:szCs w:val="28"/>
        </w:rPr>
        <w:t>economía</w:t>
      </w:r>
      <w:r w:rsidRPr="006E61DB">
        <w:rPr>
          <w:rFonts w:ascii="Book Antiqua" w:hAnsi="Book Antiqua"/>
          <w:sz w:val="28"/>
          <w:szCs w:val="28"/>
        </w:rPr>
        <w:t xml:space="preserve"> con muchos años de recorrido y consolidación, pero sí son los ejes en materia de contratos y responsabilidad. Otros textos regulan el espacio común, la libre circulación de personas y mercancías, una única moneda, política agraria o de pesca, entre otras materias, permitiendo que la normativa de la Unión consiga homogeneidad y evite desviaciones legales, corregidas por la jurisprudencia del </w:t>
      </w:r>
      <w:proofErr w:type="spellStart"/>
      <w:r w:rsidRPr="006E61DB">
        <w:rPr>
          <w:rFonts w:ascii="Book Antiqua" w:hAnsi="Book Antiqua"/>
          <w:sz w:val="28"/>
          <w:szCs w:val="28"/>
        </w:rPr>
        <w:t>TJUE</w:t>
      </w:r>
      <w:proofErr w:type="spellEnd"/>
      <w:r w:rsidRPr="006E61DB">
        <w:rPr>
          <w:rStyle w:val="Refdenotaalpie"/>
          <w:rFonts w:ascii="Book Antiqua" w:hAnsi="Book Antiqua"/>
          <w:sz w:val="28"/>
          <w:szCs w:val="28"/>
        </w:rPr>
        <w:footnoteReference w:id="8"/>
      </w:r>
      <w:r w:rsidRPr="006E61DB">
        <w:rPr>
          <w:rFonts w:ascii="Book Antiqua" w:hAnsi="Book Antiqua"/>
          <w:sz w:val="28"/>
          <w:szCs w:val="28"/>
        </w:rPr>
        <w:t>. La tarea no está ni mucho menos acabada, como señalaba Schuman</w:t>
      </w:r>
      <w:r>
        <w:rPr>
          <w:rFonts w:ascii="Book Antiqua" w:hAnsi="Book Antiqua"/>
          <w:sz w:val="28"/>
          <w:szCs w:val="28"/>
        </w:rPr>
        <w:t>,</w:t>
      </w:r>
      <w:r w:rsidRPr="006E61DB">
        <w:rPr>
          <w:rFonts w:ascii="Book Antiqua" w:hAnsi="Book Antiqua"/>
          <w:sz w:val="28"/>
          <w:szCs w:val="28"/>
        </w:rPr>
        <w:t xml:space="preserve"> pues, a pesar de estar todos los Estados miembros interrelacionados en su historia, también es cierto que guerras, nacionalismos y evolución dispar produjeron una regulación jurídica diferente en algunas materias.  </w:t>
      </w:r>
    </w:p>
    <w:p w14:paraId="5A63F8C1"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lastRenderedPageBreak/>
        <w:t>III.- El respeto a la voluntad y la libertad de elección de las partes.</w:t>
      </w:r>
    </w:p>
    <w:p w14:paraId="484ADE40"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ab/>
        <w:t>La actividad legislativa de la UE ha debido elaborarse en un equilibrio entre la firmeza, necesaria para unificar criterios con autoridad y eficacia, y la libertad, para que los países y sus nacionales no sintiesen la UE como un yugo o imposición externa generadora de rechazo. Para ello se elaboraron Reglamentos en los que se utilizaban las soluciones tradicionales o, al menos, nuevas pero consensuadas, dándoles la obligatoriedad y coercibilidad propias de una estructura europea que quería ser fuerte. Pero dichas normas se acompañaron, en todos los supuestos en que la materia lo permitía, de la posibilidad de que, con carácter previo a la entrada en funcionamiento de las normas relativas a las leyes y fueros jurisdiccionales de aplicación, pudiesen las partes someterse a leyes o tribunales elegidos de mutuo acuerdo.  La referencia a la libertad de elección de ley que regule el contrato</w:t>
      </w:r>
      <w:r>
        <w:rPr>
          <w:rFonts w:ascii="Book Antiqua" w:hAnsi="Book Antiqua"/>
          <w:sz w:val="28"/>
          <w:szCs w:val="28"/>
        </w:rPr>
        <w:t xml:space="preserve"> se recoge de forma expresa en el artículo </w:t>
      </w:r>
      <w:r w:rsidRPr="006E61DB">
        <w:rPr>
          <w:rFonts w:ascii="Book Antiqua" w:hAnsi="Book Antiqua"/>
          <w:sz w:val="28"/>
          <w:szCs w:val="28"/>
        </w:rPr>
        <w:t xml:space="preserve">3 </w:t>
      </w:r>
      <w:r>
        <w:rPr>
          <w:rFonts w:ascii="Book Antiqua" w:hAnsi="Book Antiqua"/>
          <w:sz w:val="28"/>
          <w:szCs w:val="28"/>
        </w:rPr>
        <w:t>del Reglamento Roma I</w:t>
      </w:r>
      <w:r w:rsidRPr="006E61DB">
        <w:rPr>
          <w:rStyle w:val="Refdenotaalpie"/>
          <w:rFonts w:ascii="Book Antiqua" w:hAnsi="Book Antiqua"/>
          <w:sz w:val="28"/>
          <w:szCs w:val="28"/>
        </w:rPr>
        <w:footnoteReference w:id="9"/>
      </w:r>
      <w:r w:rsidRPr="006E61DB">
        <w:rPr>
          <w:rFonts w:ascii="Book Antiqua" w:hAnsi="Book Antiqua"/>
          <w:sz w:val="28"/>
          <w:szCs w:val="28"/>
        </w:rPr>
        <w:t xml:space="preserve"> </w:t>
      </w:r>
      <w:r>
        <w:rPr>
          <w:rFonts w:ascii="Book Antiqua" w:hAnsi="Book Antiqua"/>
          <w:sz w:val="28"/>
          <w:szCs w:val="28"/>
        </w:rPr>
        <w:t>y, similar libertad en obligaciones extracontractuales se encuentra en el capítulo IV, artículo</w:t>
      </w:r>
      <w:r w:rsidRPr="006E61DB">
        <w:rPr>
          <w:rFonts w:ascii="Book Antiqua" w:hAnsi="Book Antiqua"/>
          <w:sz w:val="28"/>
          <w:szCs w:val="28"/>
        </w:rPr>
        <w:t xml:space="preserve"> 14</w:t>
      </w:r>
      <w:r>
        <w:rPr>
          <w:rFonts w:ascii="Book Antiqua" w:hAnsi="Book Antiqua"/>
          <w:sz w:val="28"/>
          <w:szCs w:val="28"/>
        </w:rPr>
        <w:t>,</w:t>
      </w:r>
      <w:r w:rsidRPr="006E61DB">
        <w:rPr>
          <w:rFonts w:ascii="Book Antiqua" w:hAnsi="Book Antiqua"/>
          <w:sz w:val="28"/>
          <w:szCs w:val="28"/>
        </w:rPr>
        <w:t xml:space="preserve"> </w:t>
      </w:r>
      <w:r>
        <w:rPr>
          <w:rFonts w:ascii="Book Antiqua" w:hAnsi="Book Antiqua"/>
          <w:sz w:val="28"/>
          <w:szCs w:val="28"/>
        </w:rPr>
        <w:t xml:space="preserve">del </w:t>
      </w:r>
      <w:r w:rsidRPr="006E61DB">
        <w:rPr>
          <w:rFonts w:ascii="Book Antiqua" w:hAnsi="Book Antiqua"/>
          <w:sz w:val="28"/>
          <w:szCs w:val="28"/>
        </w:rPr>
        <w:t>Reglamento Roma II</w:t>
      </w:r>
      <w:r w:rsidRPr="006E61DB">
        <w:rPr>
          <w:rStyle w:val="Refdenotaalpie"/>
          <w:rFonts w:ascii="Book Antiqua" w:hAnsi="Book Antiqua"/>
          <w:sz w:val="28"/>
          <w:szCs w:val="28"/>
        </w:rPr>
        <w:footnoteReference w:id="10"/>
      </w:r>
      <w:r w:rsidRPr="006E61DB">
        <w:rPr>
          <w:rFonts w:ascii="Book Antiqua" w:hAnsi="Book Antiqua"/>
          <w:sz w:val="28"/>
          <w:szCs w:val="28"/>
        </w:rPr>
        <w:t>.</w:t>
      </w:r>
      <w:r>
        <w:rPr>
          <w:rFonts w:ascii="Book Antiqua" w:hAnsi="Book Antiqua"/>
          <w:sz w:val="28"/>
          <w:szCs w:val="28"/>
        </w:rPr>
        <w:t xml:space="preserve"> </w:t>
      </w:r>
      <w:r w:rsidRPr="006E61DB">
        <w:rPr>
          <w:rFonts w:ascii="Book Antiqua" w:hAnsi="Book Antiqua"/>
          <w:sz w:val="28"/>
          <w:szCs w:val="28"/>
        </w:rPr>
        <w:t xml:space="preserve"> En el mismo sentido de respeto de la libertad, se expresa el artículo 25 del Reglamento Bruselas I-Bis, al señalar que, con independencia de su domicilio, las partes podrán someterse a un órgano jurisdiccional </w:t>
      </w:r>
      <w:r w:rsidRPr="006E61DB">
        <w:rPr>
          <w:rFonts w:ascii="Book Antiqua" w:hAnsi="Book Antiqua"/>
          <w:sz w:val="28"/>
          <w:szCs w:val="28"/>
        </w:rPr>
        <w:lastRenderedPageBreak/>
        <w:t>de un Estado miembro</w:t>
      </w:r>
      <w:r w:rsidRPr="006E61DB">
        <w:rPr>
          <w:rFonts w:ascii="Book Antiqua" w:hAnsi="Book Antiqua"/>
          <w:i/>
          <w:sz w:val="28"/>
          <w:szCs w:val="28"/>
        </w:rPr>
        <w:t xml:space="preserve">, salvo que dicho acuerdo sea nulo de acuerdo con las normas de dicho Estado miembro. </w:t>
      </w:r>
      <w:r w:rsidRPr="006E61DB">
        <w:rPr>
          <w:rFonts w:ascii="Book Antiqua" w:hAnsi="Book Antiqua"/>
          <w:sz w:val="28"/>
          <w:szCs w:val="28"/>
        </w:rPr>
        <w:t>La referencia a la sumisión en los textos romanos es amplia, como lo reflejan multitud de textos, como el de Ulpiano recogido en D. 5.1.1</w:t>
      </w:r>
      <w:r w:rsidRPr="006E61DB">
        <w:rPr>
          <w:rStyle w:val="Refdenotaalpie"/>
          <w:rFonts w:ascii="Book Antiqua" w:hAnsi="Book Antiqua"/>
          <w:sz w:val="28"/>
          <w:szCs w:val="28"/>
        </w:rPr>
        <w:footnoteReference w:id="11"/>
      </w:r>
      <w:r w:rsidRPr="006E61DB">
        <w:rPr>
          <w:rFonts w:ascii="Book Antiqua" w:hAnsi="Book Antiqua"/>
          <w:sz w:val="28"/>
          <w:szCs w:val="28"/>
        </w:rPr>
        <w:t xml:space="preserve">, en donde de forma expresa se afirma </w:t>
      </w:r>
      <w:r w:rsidRPr="006E61DB">
        <w:rPr>
          <w:rFonts w:ascii="Book Antiqua" w:hAnsi="Book Antiqua"/>
          <w:i/>
          <w:sz w:val="28"/>
          <w:szCs w:val="28"/>
        </w:rPr>
        <w:t>que, si algunos se sujetasen a una jurisdicción, y la consintieran, entre los que la consienten admiten</w:t>
      </w:r>
      <w:r>
        <w:rPr>
          <w:rFonts w:ascii="Book Antiqua" w:hAnsi="Book Antiqua"/>
          <w:i/>
          <w:sz w:val="28"/>
          <w:szCs w:val="28"/>
        </w:rPr>
        <w:t xml:space="preserve"> que</w:t>
      </w:r>
      <w:r w:rsidRPr="006E61DB">
        <w:rPr>
          <w:rFonts w:ascii="Book Antiqua" w:hAnsi="Book Antiqua"/>
          <w:i/>
          <w:sz w:val="28"/>
          <w:szCs w:val="28"/>
        </w:rPr>
        <w:t xml:space="preserve"> hay jurisdicción,</w:t>
      </w:r>
      <w:r w:rsidRPr="006E61DB">
        <w:rPr>
          <w:rFonts w:ascii="Book Antiqua" w:hAnsi="Book Antiqua"/>
          <w:sz w:val="28"/>
          <w:szCs w:val="28"/>
        </w:rPr>
        <w:t xml:space="preserve"> o en D.5.1.2pr.: </w:t>
      </w:r>
      <w:r w:rsidRPr="006E61DB">
        <w:rPr>
          <w:rFonts w:ascii="Book Antiqua" w:hAnsi="Book Antiqua"/>
          <w:i/>
          <w:sz w:val="28"/>
          <w:szCs w:val="28"/>
        </w:rPr>
        <w:t>Se entiende que han consentido los que saben que no están sujetos a la jurisdicción de alguien pero la consienten</w:t>
      </w:r>
      <w:r w:rsidRPr="006E61DB">
        <w:rPr>
          <w:rFonts w:ascii="Book Antiqua" w:hAnsi="Book Antiqua"/>
          <w:sz w:val="28"/>
          <w:szCs w:val="28"/>
        </w:rPr>
        <w:t xml:space="preserve">, o textos posteriores, como el de Caracalla, del año 214, en donde se recoge que </w:t>
      </w:r>
      <w:r w:rsidRPr="006E61DB">
        <w:rPr>
          <w:rFonts w:ascii="Book Antiqua" w:hAnsi="Book Antiqua"/>
          <w:i/>
          <w:sz w:val="28"/>
          <w:szCs w:val="28"/>
        </w:rPr>
        <w:t>habiendo elegido una parte un juez de forma voluntaria, con la aceptación de la parte contraria, no cabe oponerse a la sentencia</w:t>
      </w:r>
      <w:r w:rsidRPr="006E61DB">
        <w:rPr>
          <w:rStyle w:val="Refdenotaalpie"/>
          <w:rFonts w:ascii="Book Antiqua" w:hAnsi="Book Antiqua"/>
          <w:sz w:val="28"/>
          <w:szCs w:val="28"/>
        </w:rPr>
        <w:footnoteReference w:id="12"/>
      </w:r>
      <w:r w:rsidRPr="006E61DB">
        <w:rPr>
          <w:rFonts w:ascii="Book Antiqua" w:hAnsi="Book Antiqua"/>
          <w:sz w:val="28"/>
          <w:szCs w:val="28"/>
        </w:rPr>
        <w:t>. Todos estos textos de Digesto o Código vienen a reconocer la libertad de las partes, algo que forma parte del espíritu comunitario y que aparec</w:t>
      </w:r>
      <w:r>
        <w:rPr>
          <w:rFonts w:ascii="Book Antiqua" w:hAnsi="Book Antiqua"/>
          <w:sz w:val="28"/>
          <w:szCs w:val="28"/>
        </w:rPr>
        <w:t>e</w:t>
      </w:r>
      <w:r w:rsidRPr="006E61DB">
        <w:rPr>
          <w:rFonts w:ascii="Book Antiqua" w:hAnsi="Book Antiqua"/>
          <w:sz w:val="28"/>
          <w:szCs w:val="28"/>
        </w:rPr>
        <w:t xml:space="preserve"> en la mayor parte de las legislaciones europeas. En los Reglamentos sobre leyes aplicables a obligaciones contractuales y extracontractuales se recoge la sumisión con el nombre de “libertad de elección” y aparece como </w:t>
      </w:r>
      <w:r w:rsidRPr="006E61DB">
        <w:rPr>
          <w:rFonts w:ascii="Book Antiqua" w:hAnsi="Book Antiqua"/>
          <w:i/>
          <w:sz w:val="28"/>
          <w:szCs w:val="28"/>
        </w:rPr>
        <w:t xml:space="preserve">la libertad de las partes para establecer en su contrato la ley aplicable a la vida </w:t>
      </w:r>
      <w:proofErr w:type="gramStart"/>
      <w:r w:rsidRPr="006E61DB">
        <w:rPr>
          <w:rFonts w:ascii="Book Antiqua" w:hAnsi="Book Antiqua"/>
          <w:i/>
          <w:sz w:val="28"/>
          <w:szCs w:val="28"/>
        </w:rPr>
        <w:t>del mismo</w:t>
      </w:r>
      <w:proofErr w:type="gramEnd"/>
      <w:r w:rsidRPr="006E61DB">
        <w:rPr>
          <w:rFonts w:ascii="Book Antiqua" w:hAnsi="Book Antiqua"/>
          <w:sz w:val="28"/>
          <w:szCs w:val="28"/>
        </w:rPr>
        <w:t xml:space="preserve"> o, en el caso de obligaciones extracontractuales</w:t>
      </w:r>
      <w:r w:rsidRPr="006E61DB">
        <w:rPr>
          <w:rFonts w:ascii="Book Antiqua" w:hAnsi="Book Antiqua"/>
          <w:i/>
          <w:sz w:val="28"/>
          <w:szCs w:val="28"/>
        </w:rPr>
        <w:t xml:space="preserve">, al acuerdo posterior al </w:t>
      </w:r>
      <w:r w:rsidRPr="006E61DB">
        <w:rPr>
          <w:rFonts w:ascii="Book Antiqua" w:hAnsi="Book Antiqua"/>
          <w:i/>
          <w:sz w:val="28"/>
          <w:szCs w:val="28"/>
        </w:rPr>
        <w:lastRenderedPageBreak/>
        <w:t>hecho generador del daño</w:t>
      </w:r>
      <w:r w:rsidRPr="006E61DB">
        <w:rPr>
          <w:rStyle w:val="Refdenotaalpie"/>
          <w:rFonts w:ascii="Book Antiqua" w:hAnsi="Book Antiqua"/>
          <w:sz w:val="28"/>
          <w:szCs w:val="28"/>
        </w:rPr>
        <w:footnoteReference w:id="13"/>
      </w:r>
      <w:r w:rsidRPr="006E61DB">
        <w:rPr>
          <w:rFonts w:ascii="Book Antiqua" w:hAnsi="Book Antiqua"/>
          <w:sz w:val="28"/>
          <w:szCs w:val="28"/>
        </w:rPr>
        <w:t>. Con el nombre de “Prórroga de la competencia” aparece encabezando la Sección séptima del Reglamento</w:t>
      </w:r>
      <w:r>
        <w:rPr>
          <w:rFonts w:ascii="Book Antiqua" w:hAnsi="Book Antiqua"/>
          <w:sz w:val="28"/>
          <w:szCs w:val="28"/>
        </w:rPr>
        <w:t xml:space="preserve"> Bruselas I-bis, </w:t>
      </w:r>
      <w:r w:rsidRPr="006E61DB">
        <w:rPr>
          <w:rFonts w:ascii="Book Antiqua" w:hAnsi="Book Antiqua"/>
          <w:sz w:val="28"/>
          <w:szCs w:val="28"/>
        </w:rPr>
        <w:t xml:space="preserve">estableciendo que </w:t>
      </w:r>
      <w:r w:rsidRPr="006E61DB">
        <w:rPr>
          <w:rFonts w:ascii="Book Antiqua" w:hAnsi="Book Antiqua"/>
          <w:i/>
          <w:sz w:val="28"/>
          <w:szCs w:val="28"/>
        </w:rPr>
        <w:t>si las partes, con independencia de su domicilio,  han acordado que un órgano jurisdiccional ..de un Estado miembro sea competente para conocer de cualquier litigio que haya surgido o que pueda surgir con ocasión de una determinada relación jurídica, tal órgano jurisdiccional será competente,  a menos que el acuerdo sea nulo de pleno derec</w:t>
      </w:r>
      <w:r w:rsidRPr="006E4269">
        <w:rPr>
          <w:rFonts w:ascii="Book Antiqua" w:hAnsi="Book Antiqua"/>
          <w:i/>
          <w:sz w:val="28"/>
          <w:szCs w:val="28"/>
        </w:rPr>
        <w:t>ho..</w:t>
      </w:r>
      <w:r w:rsidRPr="006E4269">
        <w:rPr>
          <w:rStyle w:val="Refdenotaalpie"/>
          <w:rFonts w:ascii="Book Antiqua" w:hAnsi="Book Antiqua"/>
          <w:sz w:val="28"/>
          <w:szCs w:val="28"/>
        </w:rPr>
        <w:footnoteReference w:id="14"/>
      </w:r>
      <w:r w:rsidRPr="006E4269">
        <w:rPr>
          <w:rFonts w:ascii="Book Antiqua" w:hAnsi="Book Antiqua"/>
          <w:i/>
          <w:sz w:val="28"/>
          <w:szCs w:val="28"/>
        </w:rPr>
        <w:t xml:space="preserve">, </w:t>
      </w:r>
      <w:r w:rsidRPr="006E4269">
        <w:rPr>
          <w:rFonts w:ascii="Book Antiqua" w:hAnsi="Book Antiqua"/>
          <w:sz w:val="28"/>
          <w:szCs w:val="28"/>
        </w:rPr>
        <w:t>de</w:t>
      </w:r>
      <w:r w:rsidRPr="006E61DB">
        <w:rPr>
          <w:rFonts w:ascii="Book Antiqua" w:hAnsi="Book Antiqua"/>
          <w:sz w:val="28"/>
          <w:szCs w:val="28"/>
        </w:rPr>
        <w:t xml:space="preserve"> esta manera se respeta el principio de libertad de elección de las partes, salvo cuando se atente contra normas imperativas en contrario.  </w:t>
      </w:r>
    </w:p>
    <w:p w14:paraId="7B3D2ACB"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 xml:space="preserve">III.1.-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i/>
          <w:sz w:val="28"/>
          <w:szCs w:val="28"/>
        </w:rPr>
        <w:t xml:space="preserve"> </w:t>
      </w:r>
      <w:r w:rsidRPr="006E61DB">
        <w:rPr>
          <w:rFonts w:ascii="Book Antiqua" w:hAnsi="Book Antiqua"/>
          <w:sz w:val="28"/>
          <w:szCs w:val="28"/>
        </w:rPr>
        <w:t>en los textos clásicos y propuestas revisionistas.</w:t>
      </w:r>
    </w:p>
    <w:p w14:paraId="749F9D03" w14:textId="77777777" w:rsidR="004A00AB" w:rsidRPr="006E61DB" w:rsidRDefault="004A00AB" w:rsidP="004A00AB">
      <w:pPr>
        <w:spacing w:after="100" w:afterAutospacing="1" w:line="360" w:lineRule="auto"/>
        <w:ind w:firstLine="705"/>
        <w:jc w:val="both"/>
        <w:rPr>
          <w:rFonts w:ascii="Book Antiqua" w:hAnsi="Book Antiqua"/>
          <w:sz w:val="28"/>
          <w:szCs w:val="28"/>
        </w:rPr>
      </w:pPr>
      <w:r w:rsidRPr="006E61DB">
        <w:rPr>
          <w:rFonts w:ascii="Book Antiqua" w:hAnsi="Book Antiqua"/>
          <w:sz w:val="28"/>
          <w:szCs w:val="28"/>
        </w:rPr>
        <w:t xml:space="preserve">El análisis de los fueros jurisdiccionales en los Reglamentos de la UE muestra cómo se van entrecruzando, complementando y, en ocasiones, solapando, creando cierta inseguridad jurídica. Se suele partir en la regulación comunitaria de principios generales, para, a continuación, introducir otros como excepciones o “cláusulas de escape”, nombre utilizado en los textos reglamentarios comunitarios </w:t>
      </w:r>
      <w:r w:rsidRPr="006E61DB">
        <w:rPr>
          <w:rFonts w:ascii="Book Antiqua" w:hAnsi="Book Antiqua"/>
          <w:sz w:val="28"/>
          <w:szCs w:val="28"/>
        </w:rPr>
        <w:lastRenderedPageBreak/>
        <w:t>para apartarse de las soluciones</w:t>
      </w:r>
      <w:r>
        <w:rPr>
          <w:rFonts w:ascii="Book Antiqua" w:hAnsi="Book Antiqua"/>
          <w:sz w:val="28"/>
          <w:szCs w:val="28"/>
        </w:rPr>
        <w:t xml:space="preserve"> generales</w:t>
      </w:r>
      <w:r w:rsidRPr="006E61DB">
        <w:rPr>
          <w:rFonts w:ascii="Book Antiqua" w:hAnsi="Book Antiqua"/>
          <w:sz w:val="28"/>
          <w:szCs w:val="28"/>
        </w:rPr>
        <w:t>. Su</w:t>
      </w:r>
      <w:r>
        <w:rPr>
          <w:rFonts w:ascii="Book Antiqua" w:hAnsi="Book Antiqua"/>
          <w:sz w:val="28"/>
          <w:szCs w:val="28"/>
        </w:rPr>
        <w:t xml:space="preserve"> finalidad </w:t>
      </w:r>
      <w:r w:rsidRPr="006E61DB">
        <w:rPr>
          <w:rFonts w:ascii="Book Antiqua" w:hAnsi="Book Antiqua"/>
          <w:sz w:val="28"/>
          <w:szCs w:val="28"/>
        </w:rPr>
        <w:t>no es distinta de la perseguida en Roma para dar homogeneidad jurídica al entramado de pueblos y normas locales que había que unificar aportando justicia y seguridad jurídica</w:t>
      </w:r>
      <w:r w:rsidRPr="006E61DB">
        <w:rPr>
          <w:rStyle w:val="Refdenotaalpie"/>
          <w:rFonts w:ascii="Book Antiqua" w:hAnsi="Book Antiqua"/>
          <w:sz w:val="28"/>
          <w:szCs w:val="28"/>
        </w:rPr>
        <w:footnoteReference w:id="15"/>
      </w:r>
      <w:r w:rsidRPr="006E61DB">
        <w:rPr>
          <w:rFonts w:ascii="Book Antiqua" w:hAnsi="Book Antiqua"/>
          <w:sz w:val="28"/>
          <w:szCs w:val="28"/>
        </w:rPr>
        <w:t xml:space="preserve">. Para ello, los juristas hubieron de </w:t>
      </w:r>
      <w:r>
        <w:rPr>
          <w:rFonts w:ascii="Book Antiqua" w:hAnsi="Book Antiqua"/>
          <w:sz w:val="28"/>
          <w:szCs w:val="28"/>
        </w:rPr>
        <w:t>crear</w:t>
      </w:r>
      <w:r w:rsidRPr="006E61DB">
        <w:rPr>
          <w:rFonts w:ascii="Book Antiqua" w:hAnsi="Book Antiqua"/>
          <w:sz w:val="28"/>
          <w:szCs w:val="28"/>
        </w:rPr>
        <w:t xml:space="preserve"> las leyes aplicables a los diversos supuestos y, al mismo tiempo, establecer fueros competenciales de manera que los contratantes, previsibles litigantes, supieran en todo momento el lugar en donde habían de litigar, con qué ley procesal y ante qué magistrados. El problema de la competencia jurisdiccional, que aún hoy día causa innumerables conflictos procesales, se complicaba aún más en la antigüedad por la diversa consideración de las personas y los diversos fueros personales</w:t>
      </w:r>
      <w:r w:rsidRPr="006E61DB">
        <w:rPr>
          <w:rStyle w:val="Refdenotaalpie"/>
          <w:rFonts w:ascii="Book Antiqua" w:hAnsi="Book Antiqua"/>
          <w:sz w:val="28"/>
          <w:szCs w:val="28"/>
        </w:rPr>
        <w:footnoteReference w:id="16"/>
      </w:r>
      <w:r w:rsidRPr="006E61DB">
        <w:rPr>
          <w:rFonts w:ascii="Book Antiqua" w:hAnsi="Book Antiqua"/>
          <w:sz w:val="28"/>
          <w:szCs w:val="28"/>
        </w:rPr>
        <w:t xml:space="preserve">. A pesar de ello, los juristas </w:t>
      </w:r>
      <w:r w:rsidRPr="006E61DB">
        <w:rPr>
          <w:rFonts w:ascii="Book Antiqua" w:hAnsi="Book Antiqua"/>
          <w:sz w:val="28"/>
          <w:szCs w:val="28"/>
        </w:rPr>
        <w:lastRenderedPageBreak/>
        <w:t xml:space="preserve">establecieron unos principios de competencia jurisdiccional que el paso del tiempo demostró ser eficaces y justos, aunque con “desajustes” que iban corrigiendo los propios juristas en sus </w:t>
      </w:r>
      <w:r w:rsidRPr="006E61DB">
        <w:rPr>
          <w:rFonts w:ascii="Book Antiqua" w:hAnsi="Book Antiqua"/>
          <w:i/>
          <w:sz w:val="28"/>
          <w:szCs w:val="28"/>
        </w:rPr>
        <w:t>responsa</w:t>
      </w:r>
      <w:r w:rsidRPr="006E61DB">
        <w:rPr>
          <w:rStyle w:val="Refdenotaalpie"/>
          <w:rFonts w:ascii="Book Antiqua" w:hAnsi="Book Antiqua"/>
          <w:sz w:val="28"/>
          <w:szCs w:val="28"/>
        </w:rPr>
        <w:footnoteReference w:id="17"/>
      </w:r>
      <w:r w:rsidRPr="006E61DB">
        <w:rPr>
          <w:rFonts w:ascii="Book Antiqua" w:hAnsi="Book Antiqua"/>
          <w:sz w:val="28"/>
          <w:szCs w:val="28"/>
        </w:rPr>
        <w:t>. El criterio general que establecieron fue que los demandantes habían de presentar sus demandas en el domicilio demandado</w:t>
      </w:r>
      <w:r w:rsidRPr="006E61DB">
        <w:rPr>
          <w:rStyle w:val="Refdenotaalpie"/>
          <w:rFonts w:ascii="Book Antiqua" w:hAnsi="Book Antiqua"/>
          <w:sz w:val="28"/>
          <w:szCs w:val="28"/>
        </w:rPr>
        <w:footnoteReference w:id="18"/>
      </w:r>
      <w:r w:rsidRPr="006E61DB">
        <w:rPr>
          <w:rFonts w:ascii="Book Antiqua" w:hAnsi="Book Antiqua"/>
          <w:sz w:val="28"/>
          <w:szCs w:val="28"/>
        </w:rPr>
        <w:t xml:space="preserve">. En el código justinianeo se recogen dos importantes constituciones que vienen a resumir la práctica de siglos precedentes, ratificando la línea jurisprudencial precedente.  </w:t>
      </w:r>
    </w:p>
    <w:p w14:paraId="2A577241" w14:textId="77777777" w:rsidR="004A00AB" w:rsidRPr="006E61DB" w:rsidRDefault="004A00AB" w:rsidP="004A00AB">
      <w:pPr>
        <w:spacing w:after="100" w:afterAutospacing="1" w:line="360" w:lineRule="auto"/>
        <w:ind w:left="705"/>
        <w:jc w:val="both"/>
        <w:rPr>
          <w:rFonts w:ascii="Book Antiqua" w:hAnsi="Book Antiqua"/>
          <w:sz w:val="28"/>
          <w:szCs w:val="28"/>
          <w:lang w:val="en-US"/>
        </w:rPr>
      </w:pPr>
      <w:r w:rsidRPr="006E61DB">
        <w:rPr>
          <w:rFonts w:ascii="Book Antiqua" w:hAnsi="Book Antiqua"/>
          <w:sz w:val="28"/>
          <w:szCs w:val="28"/>
          <w:lang w:val="en-US"/>
        </w:rPr>
        <w:t>C. 3.19.3 (</w:t>
      </w:r>
      <w:proofErr w:type="spellStart"/>
      <w:r w:rsidRPr="006E61DB">
        <w:rPr>
          <w:rFonts w:ascii="Book Antiqua" w:hAnsi="Book Antiqua"/>
          <w:i/>
          <w:sz w:val="28"/>
          <w:szCs w:val="28"/>
          <w:lang w:val="en-US"/>
        </w:rPr>
        <w:t>Grat</w:t>
      </w:r>
      <w:proofErr w:type="spellEnd"/>
      <w:r w:rsidRPr="006E61DB">
        <w:rPr>
          <w:rFonts w:ascii="Book Antiqua" w:hAnsi="Book Antiqua"/>
          <w:i/>
          <w:sz w:val="28"/>
          <w:szCs w:val="28"/>
          <w:lang w:val="en-US"/>
        </w:rPr>
        <w:t xml:space="preserve">. </w:t>
      </w:r>
      <w:proofErr w:type="gramStart"/>
      <w:r w:rsidRPr="006E61DB">
        <w:rPr>
          <w:rFonts w:ascii="Book Antiqua" w:hAnsi="Book Antiqua"/>
          <w:i/>
          <w:sz w:val="28"/>
          <w:szCs w:val="28"/>
          <w:lang w:val="en-US"/>
        </w:rPr>
        <w:t>Val.,Theod</w:t>
      </w:r>
      <w:proofErr w:type="gramEnd"/>
      <w:r w:rsidRPr="006E61DB">
        <w:rPr>
          <w:rFonts w:ascii="Book Antiqua" w:hAnsi="Book Antiqua"/>
          <w:sz w:val="28"/>
          <w:szCs w:val="28"/>
          <w:lang w:val="en-US"/>
        </w:rPr>
        <w:t xml:space="preserve">.385): </w:t>
      </w:r>
      <w:r w:rsidRPr="006E61DB">
        <w:rPr>
          <w:rFonts w:ascii="Book Antiqua" w:hAnsi="Book Antiqua"/>
          <w:i/>
          <w:sz w:val="28"/>
          <w:szCs w:val="28"/>
          <w:lang w:val="en-US"/>
        </w:rPr>
        <w:t xml:space="preserve">Actor rei forum, </w:t>
      </w:r>
      <w:proofErr w:type="spellStart"/>
      <w:r w:rsidRPr="006E61DB">
        <w:rPr>
          <w:rFonts w:ascii="Book Antiqua" w:hAnsi="Book Antiqua"/>
          <w:i/>
          <w:sz w:val="28"/>
          <w:szCs w:val="28"/>
          <w:lang w:val="en-US"/>
        </w:rPr>
        <w:t>sive</w:t>
      </w:r>
      <w:proofErr w:type="spellEnd"/>
      <w:r w:rsidRPr="006E61DB">
        <w:rPr>
          <w:rFonts w:ascii="Book Antiqua" w:hAnsi="Book Antiqua"/>
          <w:i/>
          <w:sz w:val="28"/>
          <w:szCs w:val="28"/>
          <w:lang w:val="en-US"/>
        </w:rPr>
        <w:t xml:space="preserve"> in rem </w:t>
      </w:r>
      <w:proofErr w:type="spellStart"/>
      <w:r w:rsidRPr="006E61DB">
        <w:rPr>
          <w:rFonts w:ascii="Book Antiqua" w:hAnsi="Book Antiqua"/>
          <w:i/>
          <w:sz w:val="28"/>
          <w:szCs w:val="28"/>
          <w:lang w:val="en-US"/>
        </w:rPr>
        <w:t>sive</w:t>
      </w:r>
      <w:proofErr w:type="spellEnd"/>
      <w:r w:rsidRPr="006E61DB">
        <w:rPr>
          <w:rFonts w:ascii="Book Antiqua" w:hAnsi="Book Antiqua"/>
          <w:i/>
          <w:sz w:val="28"/>
          <w:szCs w:val="28"/>
          <w:lang w:val="en-US"/>
        </w:rPr>
        <w:t xml:space="preserve"> in </w:t>
      </w:r>
      <w:proofErr w:type="spellStart"/>
      <w:r w:rsidRPr="006E61DB">
        <w:rPr>
          <w:rFonts w:ascii="Book Antiqua" w:hAnsi="Book Antiqua"/>
          <w:i/>
          <w:sz w:val="28"/>
          <w:szCs w:val="28"/>
          <w:lang w:val="en-US"/>
        </w:rPr>
        <w:t>personam</w:t>
      </w:r>
      <w:proofErr w:type="spellEnd"/>
      <w:r w:rsidRPr="006E61DB">
        <w:rPr>
          <w:rFonts w:ascii="Book Antiqua" w:hAnsi="Book Antiqua"/>
          <w:i/>
          <w:sz w:val="28"/>
          <w:szCs w:val="28"/>
          <w:lang w:val="en-US"/>
        </w:rPr>
        <w:t xml:space="preserve"> sit </w:t>
      </w:r>
      <w:proofErr w:type="spellStart"/>
      <w:r w:rsidRPr="006E61DB">
        <w:rPr>
          <w:rFonts w:ascii="Book Antiqua" w:hAnsi="Book Antiqua"/>
          <w:i/>
          <w:sz w:val="28"/>
          <w:szCs w:val="28"/>
          <w:lang w:val="en-US"/>
        </w:rPr>
        <w:t>actio</w:t>
      </w:r>
      <w:proofErr w:type="spellEnd"/>
      <w:r w:rsidRPr="006E61DB">
        <w:rPr>
          <w:rFonts w:ascii="Book Antiqua" w:hAnsi="Book Antiqua"/>
          <w:i/>
          <w:sz w:val="28"/>
          <w:szCs w:val="28"/>
          <w:lang w:val="en-US"/>
        </w:rPr>
        <w:t>,..</w:t>
      </w:r>
    </w:p>
    <w:p w14:paraId="77C6EC52" w14:textId="77777777" w:rsidR="004A00AB" w:rsidRPr="006E61DB" w:rsidRDefault="004A00AB" w:rsidP="004A00AB">
      <w:pPr>
        <w:spacing w:after="100" w:afterAutospacing="1" w:line="360" w:lineRule="auto"/>
        <w:ind w:left="705"/>
        <w:jc w:val="both"/>
        <w:rPr>
          <w:rFonts w:ascii="Book Antiqua" w:hAnsi="Book Antiqua"/>
          <w:sz w:val="28"/>
          <w:szCs w:val="28"/>
          <w:lang w:val="en-US"/>
        </w:rPr>
      </w:pPr>
      <w:r w:rsidRPr="006E61DB">
        <w:rPr>
          <w:rFonts w:ascii="Book Antiqua" w:hAnsi="Book Antiqua"/>
          <w:sz w:val="28"/>
          <w:szCs w:val="28"/>
          <w:lang w:val="en-US"/>
        </w:rPr>
        <w:lastRenderedPageBreak/>
        <w:t>C. 3.13.2 (</w:t>
      </w:r>
      <w:proofErr w:type="spellStart"/>
      <w:r w:rsidRPr="006E61DB">
        <w:rPr>
          <w:rFonts w:ascii="Book Antiqua" w:hAnsi="Book Antiqua"/>
          <w:i/>
          <w:sz w:val="28"/>
          <w:szCs w:val="28"/>
          <w:lang w:val="en-US"/>
        </w:rPr>
        <w:t>Diocl</w:t>
      </w:r>
      <w:proofErr w:type="spellEnd"/>
      <w:r w:rsidRPr="006E61DB">
        <w:rPr>
          <w:rFonts w:ascii="Book Antiqua" w:hAnsi="Book Antiqua"/>
          <w:i/>
          <w:sz w:val="28"/>
          <w:szCs w:val="28"/>
          <w:lang w:val="en-US"/>
        </w:rPr>
        <w:t>. Max</w:t>
      </w:r>
      <w:r w:rsidRPr="006E61DB">
        <w:rPr>
          <w:rFonts w:ascii="Book Antiqua" w:hAnsi="Book Antiqua"/>
          <w:sz w:val="28"/>
          <w:szCs w:val="28"/>
          <w:lang w:val="en-US"/>
        </w:rPr>
        <w:t xml:space="preserve">.293): </w:t>
      </w:r>
      <w:proofErr w:type="spellStart"/>
      <w:r w:rsidRPr="006E61DB">
        <w:rPr>
          <w:rFonts w:ascii="Book Antiqua" w:hAnsi="Book Antiqua"/>
          <w:i/>
          <w:sz w:val="28"/>
          <w:szCs w:val="28"/>
          <w:lang w:val="en-US"/>
        </w:rPr>
        <w:t>Iures</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ordinem</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converti</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postulas</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ut</w:t>
      </w:r>
      <w:proofErr w:type="spellEnd"/>
      <w:r w:rsidRPr="006E61DB">
        <w:rPr>
          <w:rFonts w:ascii="Book Antiqua" w:hAnsi="Book Antiqua"/>
          <w:i/>
          <w:sz w:val="28"/>
          <w:szCs w:val="28"/>
          <w:lang w:val="en-US"/>
        </w:rPr>
        <w:t xml:space="preserve"> non actor rei forum, sed reus </w:t>
      </w:r>
      <w:proofErr w:type="spellStart"/>
      <w:r w:rsidRPr="006E61DB">
        <w:rPr>
          <w:rFonts w:ascii="Book Antiqua" w:hAnsi="Book Antiqua"/>
          <w:i/>
          <w:sz w:val="28"/>
          <w:szCs w:val="28"/>
          <w:lang w:val="en-US"/>
        </w:rPr>
        <w:t>actoris</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sequatur</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nam</w:t>
      </w:r>
      <w:proofErr w:type="spellEnd"/>
      <w:r w:rsidRPr="006E61DB">
        <w:rPr>
          <w:rFonts w:ascii="Book Antiqua" w:hAnsi="Book Antiqua"/>
          <w:i/>
          <w:sz w:val="28"/>
          <w:szCs w:val="28"/>
          <w:lang w:val="en-US"/>
        </w:rPr>
        <w:t xml:space="preserve"> ubi </w:t>
      </w:r>
      <w:proofErr w:type="spellStart"/>
      <w:r w:rsidRPr="006E61DB">
        <w:rPr>
          <w:rFonts w:ascii="Book Antiqua" w:hAnsi="Book Antiqua"/>
          <w:i/>
          <w:sz w:val="28"/>
          <w:szCs w:val="28"/>
          <w:lang w:val="en-US"/>
        </w:rPr>
        <w:t>domicilium</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habet</w:t>
      </w:r>
      <w:proofErr w:type="spellEnd"/>
      <w:r w:rsidRPr="006E61DB">
        <w:rPr>
          <w:rFonts w:ascii="Book Antiqua" w:hAnsi="Book Antiqua"/>
          <w:i/>
          <w:sz w:val="28"/>
          <w:szCs w:val="28"/>
          <w:lang w:val="en-US"/>
        </w:rPr>
        <w:t xml:space="preserve"> reus vel tempore </w:t>
      </w:r>
      <w:proofErr w:type="spellStart"/>
      <w:r w:rsidRPr="006E61DB">
        <w:rPr>
          <w:rFonts w:ascii="Book Antiqua" w:hAnsi="Book Antiqua"/>
          <w:i/>
          <w:sz w:val="28"/>
          <w:szCs w:val="28"/>
          <w:lang w:val="en-US"/>
        </w:rPr>
        <w:t>contractus</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habuit</w:t>
      </w:r>
      <w:proofErr w:type="spellEnd"/>
      <w:r w:rsidRPr="006E61DB">
        <w:rPr>
          <w:rFonts w:ascii="Book Antiqua" w:hAnsi="Book Antiqua"/>
          <w:i/>
          <w:sz w:val="28"/>
          <w:szCs w:val="28"/>
          <w:lang w:val="en-US"/>
        </w:rPr>
        <w:t xml:space="preserve">, licet hoc </w:t>
      </w:r>
      <w:proofErr w:type="spellStart"/>
      <w:r w:rsidRPr="006E61DB">
        <w:rPr>
          <w:rFonts w:ascii="Book Antiqua" w:hAnsi="Book Antiqua"/>
          <w:i/>
          <w:sz w:val="28"/>
          <w:szCs w:val="28"/>
          <w:lang w:val="en-US"/>
        </w:rPr>
        <w:t>postea</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transtulerit</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ibi</w:t>
      </w:r>
      <w:proofErr w:type="spellEnd"/>
      <w:r w:rsidRPr="006E61DB">
        <w:rPr>
          <w:rFonts w:ascii="Book Antiqua" w:hAnsi="Book Antiqua"/>
          <w:i/>
          <w:sz w:val="28"/>
          <w:szCs w:val="28"/>
          <w:lang w:val="en-US"/>
        </w:rPr>
        <w:t xml:space="preserve"> tantum </w:t>
      </w:r>
      <w:proofErr w:type="spellStart"/>
      <w:r w:rsidRPr="006E61DB">
        <w:rPr>
          <w:rFonts w:ascii="Book Antiqua" w:hAnsi="Book Antiqua"/>
          <w:i/>
          <w:sz w:val="28"/>
          <w:szCs w:val="28"/>
          <w:lang w:val="en-US"/>
        </w:rPr>
        <w:t>eum</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conveniri</w:t>
      </w:r>
      <w:proofErr w:type="spellEnd"/>
      <w:r w:rsidRPr="006E61DB">
        <w:rPr>
          <w:rFonts w:ascii="Book Antiqua" w:hAnsi="Book Antiqua"/>
          <w:i/>
          <w:sz w:val="28"/>
          <w:szCs w:val="28"/>
          <w:lang w:val="en-US"/>
        </w:rPr>
        <w:t xml:space="preserve"> </w:t>
      </w:r>
      <w:proofErr w:type="spellStart"/>
      <w:proofErr w:type="gramStart"/>
      <w:r w:rsidRPr="006E61DB">
        <w:rPr>
          <w:rFonts w:ascii="Book Antiqua" w:hAnsi="Book Antiqua"/>
          <w:i/>
          <w:sz w:val="28"/>
          <w:szCs w:val="28"/>
          <w:lang w:val="en-US"/>
        </w:rPr>
        <w:t>oporte</w:t>
      </w:r>
      <w:proofErr w:type="spellEnd"/>
      <w:r w:rsidRPr="006E61DB">
        <w:rPr>
          <w:rFonts w:ascii="Book Antiqua" w:hAnsi="Book Antiqua"/>
          <w:i/>
          <w:sz w:val="28"/>
          <w:szCs w:val="28"/>
          <w:lang w:val="en-US"/>
        </w:rPr>
        <w:t>..</w:t>
      </w:r>
      <w:proofErr w:type="gramEnd"/>
    </w:p>
    <w:p w14:paraId="2564F549" w14:textId="77777777" w:rsidR="004A00AB" w:rsidRPr="006E61DB" w:rsidRDefault="004A00AB" w:rsidP="004A00AB">
      <w:pPr>
        <w:spacing w:line="360" w:lineRule="auto"/>
        <w:ind w:firstLine="705"/>
        <w:jc w:val="both"/>
        <w:rPr>
          <w:rFonts w:ascii="Book Antiqua" w:hAnsi="Book Antiqua"/>
          <w:sz w:val="28"/>
          <w:szCs w:val="28"/>
        </w:rPr>
      </w:pPr>
      <w:r w:rsidRPr="006E61DB">
        <w:rPr>
          <w:rFonts w:ascii="Book Antiqua" w:hAnsi="Book Antiqua"/>
          <w:sz w:val="28"/>
          <w:szCs w:val="28"/>
        </w:rPr>
        <w:t>Este principio se mantuvo inalterable como la demuestra la extensa Novela 69 (Const. LXXII) que señala injusto e impensable que se obligue a litigar a alguien en un lugar sin conexión con los hechos que se juzgan</w:t>
      </w:r>
      <w:r w:rsidRPr="006E61DB">
        <w:rPr>
          <w:rStyle w:val="Refdenotaalpie"/>
          <w:rFonts w:ascii="Book Antiqua" w:hAnsi="Book Antiqua"/>
          <w:sz w:val="28"/>
          <w:szCs w:val="28"/>
        </w:rPr>
        <w:footnoteReference w:id="19"/>
      </w:r>
      <w:r w:rsidRPr="006E61DB">
        <w:rPr>
          <w:rFonts w:ascii="Book Antiqua" w:hAnsi="Book Antiqua"/>
          <w:sz w:val="28"/>
          <w:szCs w:val="28"/>
        </w:rPr>
        <w:t xml:space="preserve">. En el capítulo I de la citada constitución prescribe el emperador que </w:t>
      </w:r>
      <w:r>
        <w:rPr>
          <w:rFonts w:ascii="Book Antiqua" w:hAnsi="Book Antiqua"/>
          <w:sz w:val="28"/>
          <w:szCs w:val="28"/>
        </w:rPr>
        <w:t>“</w:t>
      </w:r>
      <w:r w:rsidRPr="006E61DB">
        <w:rPr>
          <w:rFonts w:ascii="Book Antiqua" w:hAnsi="Book Antiqua"/>
          <w:sz w:val="28"/>
          <w:szCs w:val="28"/>
        </w:rPr>
        <w:t xml:space="preserve">en la provincia en la que uno delinque, o en la que se constituye reo en negocio civil o criminal, o en cuestión de terrenos o límites, o de propiedad, o de posesión o de hipoteca, o con otra cualquiera ocasión, allí está sujeto al </w:t>
      </w:r>
      <w:proofErr w:type="gramStart"/>
      <w:r w:rsidRPr="006E61DB">
        <w:rPr>
          <w:rFonts w:ascii="Book Antiqua" w:hAnsi="Book Antiqua"/>
          <w:sz w:val="28"/>
          <w:szCs w:val="28"/>
        </w:rPr>
        <w:t>derecho</w:t>
      </w:r>
      <w:r w:rsidRPr="009B320C">
        <w:rPr>
          <w:rFonts w:ascii="Book Antiqua" w:hAnsi="Book Antiqua"/>
          <w:sz w:val="28"/>
          <w:szCs w:val="28"/>
        </w:rPr>
        <w:t>..</w:t>
      </w:r>
      <w:proofErr w:type="gramEnd"/>
      <w:r>
        <w:rPr>
          <w:rFonts w:ascii="Book Antiqua" w:hAnsi="Book Antiqua"/>
          <w:sz w:val="28"/>
          <w:szCs w:val="28"/>
        </w:rPr>
        <w:t xml:space="preserve"> </w:t>
      </w:r>
      <w:r w:rsidRPr="006E61DB">
        <w:rPr>
          <w:rFonts w:ascii="Book Antiqua" w:hAnsi="Book Antiqua"/>
          <w:sz w:val="28"/>
          <w:szCs w:val="28"/>
        </w:rPr>
        <w:t xml:space="preserve">y no busque litigar más allá de aquél </w:t>
      </w:r>
      <w:proofErr w:type="gramStart"/>
      <w:r w:rsidRPr="006E61DB">
        <w:rPr>
          <w:rFonts w:ascii="Book Antiqua" w:hAnsi="Book Antiqua"/>
          <w:sz w:val="28"/>
          <w:szCs w:val="28"/>
        </w:rPr>
        <w:t>término</w:t>
      </w:r>
      <w:r w:rsidRPr="009B320C">
        <w:rPr>
          <w:rFonts w:ascii="Book Antiqua" w:hAnsi="Book Antiqua"/>
          <w:sz w:val="28"/>
          <w:szCs w:val="28"/>
        </w:rPr>
        <w:t>,..</w:t>
      </w:r>
      <w:proofErr w:type="gramEnd"/>
      <w:r>
        <w:rPr>
          <w:rFonts w:ascii="Book Antiqua" w:hAnsi="Book Antiqua"/>
          <w:sz w:val="28"/>
          <w:szCs w:val="28"/>
        </w:rPr>
        <w:t>”</w:t>
      </w:r>
      <w:r w:rsidRPr="006E61DB">
        <w:rPr>
          <w:rStyle w:val="Refdenotaalpie"/>
          <w:rFonts w:ascii="Book Antiqua" w:hAnsi="Book Antiqua"/>
          <w:sz w:val="28"/>
          <w:szCs w:val="28"/>
        </w:rPr>
        <w:footnoteReference w:id="20"/>
      </w:r>
      <w:r w:rsidRPr="006E61DB">
        <w:rPr>
          <w:rFonts w:ascii="Book Antiqua" w:hAnsi="Book Antiqua"/>
          <w:sz w:val="28"/>
          <w:szCs w:val="28"/>
        </w:rPr>
        <w:t xml:space="preserve">. Y para que no quedase duda de la </w:t>
      </w:r>
      <w:r w:rsidRPr="006E61DB">
        <w:rPr>
          <w:rFonts w:ascii="Book Antiqua" w:hAnsi="Book Antiqua"/>
          <w:i/>
          <w:sz w:val="28"/>
          <w:szCs w:val="28"/>
        </w:rPr>
        <w:t xml:space="preserve">ratio iuris </w:t>
      </w:r>
      <w:r w:rsidRPr="006E61DB">
        <w:rPr>
          <w:rFonts w:ascii="Book Antiqua" w:hAnsi="Book Antiqua"/>
          <w:sz w:val="28"/>
          <w:szCs w:val="28"/>
        </w:rPr>
        <w:t>del precepto, el mismo capítulo añade que</w:t>
      </w:r>
      <w:r w:rsidRPr="006E61DB">
        <w:rPr>
          <w:rFonts w:ascii="Book Antiqua" w:hAnsi="Book Antiqua"/>
          <w:i/>
          <w:sz w:val="28"/>
          <w:szCs w:val="28"/>
        </w:rPr>
        <w:t xml:space="preserve">, ya se trate de grandes delitos o se tratare de contratos, los escritos y pruebas se practiquen en esa provincia. Y si se tratase de delitos o asuntos de pequeña índole más aún, ya que el demandado habría de desplazarse a territorio extraño en el que habría de </w:t>
      </w:r>
      <w:r w:rsidRPr="006E61DB">
        <w:rPr>
          <w:rFonts w:ascii="Book Antiqua" w:hAnsi="Book Antiqua"/>
          <w:i/>
          <w:sz w:val="28"/>
          <w:szCs w:val="28"/>
        </w:rPr>
        <w:lastRenderedPageBreak/>
        <w:t xml:space="preserve">soportar en muchos casos el poderío de los demandantes. </w:t>
      </w:r>
      <w:r w:rsidRPr="006E61DB">
        <w:rPr>
          <w:rFonts w:ascii="Book Antiqua" w:hAnsi="Book Antiqua"/>
          <w:sz w:val="28"/>
          <w:szCs w:val="28"/>
        </w:rPr>
        <w:t xml:space="preserve"> Incide en esta idea el precepto interrogándose </w:t>
      </w:r>
      <w:r w:rsidRPr="006E61DB">
        <w:rPr>
          <w:rFonts w:ascii="Book Antiqua" w:hAnsi="Book Antiqua"/>
          <w:i/>
          <w:sz w:val="28"/>
          <w:szCs w:val="28"/>
        </w:rPr>
        <w:t>qué puede haber más duro o difícil, que obligar al lesionado, a quien se le ha despojado injustamente de un bien de poca importancia, como un buey, caballo o ganado, incluso una gallina, que tener que desplazarse a la provincia del que realiza el acto</w:t>
      </w:r>
      <w:r w:rsidRPr="006E61DB">
        <w:rPr>
          <w:rStyle w:val="Refdenotaalpie"/>
          <w:rFonts w:ascii="Book Antiqua" w:hAnsi="Book Antiqua"/>
          <w:sz w:val="28"/>
          <w:szCs w:val="28"/>
        </w:rPr>
        <w:footnoteReference w:id="21"/>
      </w:r>
      <w:r w:rsidRPr="006E61DB">
        <w:rPr>
          <w:rFonts w:ascii="Book Antiqua" w:hAnsi="Book Antiqua"/>
          <w:sz w:val="28"/>
          <w:szCs w:val="28"/>
        </w:rPr>
        <w:t>. Añade adem</w:t>
      </w:r>
      <w:r>
        <w:rPr>
          <w:rFonts w:ascii="Book Antiqua" w:hAnsi="Book Antiqua"/>
          <w:sz w:val="28"/>
          <w:szCs w:val="28"/>
        </w:rPr>
        <w:t>ás</w:t>
      </w:r>
      <w:r w:rsidRPr="006E61DB">
        <w:rPr>
          <w:rFonts w:ascii="Book Antiqua" w:hAnsi="Book Antiqua"/>
          <w:sz w:val="28"/>
          <w:szCs w:val="28"/>
        </w:rPr>
        <w:t xml:space="preserve"> un argumento de gran importancia, como es el relativo a los gastos procesales, aludiendo a la injusticia de tener que litigar y presentar pruebas en lugar extraño, padeciendo no sólo aflicción, sino en ocasiones, mendicidad y la propia muerte</w:t>
      </w:r>
      <w:r w:rsidRPr="006E61DB">
        <w:rPr>
          <w:rStyle w:val="Refdenotaalpie"/>
          <w:rFonts w:ascii="Book Antiqua" w:hAnsi="Book Antiqua"/>
          <w:sz w:val="28"/>
          <w:szCs w:val="28"/>
        </w:rPr>
        <w:footnoteReference w:id="22"/>
      </w:r>
      <w:r w:rsidRPr="006E61DB">
        <w:rPr>
          <w:rFonts w:ascii="Book Antiqua" w:hAnsi="Book Antiqua"/>
          <w:sz w:val="28"/>
          <w:szCs w:val="28"/>
        </w:rPr>
        <w:t xml:space="preserve">.  La claridad de los preceptos citados, tanto del código como de novelas, pasaba por una cuestión previa de vital importancia, como era la de establecer qué </w:t>
      </w:r>
      <w:r w:rsidRPr="006E61DB">
        <w:rPr>
          <w:rFonts w:ascii="Book Antiqua" w:hAnsi="Book Antiqua"/>
          <w:sz w:val="28"/>
          <w:szCs w:val="28"/>
        </w:rPr>
        <w:lastRenderedPageBreak/>
        <w:t>constituía jurídicamente el domicilio de una persona</w:t>
      </w:r>
      <w:r w:rsidRPr="006E61DB">
        <w:rPr>
          <w:rStyle w:val="Refdenotaalpie"/>
          <w:rFonts w:ascii="Book Antiqua" w:hAnsi="Book Antiqua"/>
          <w:sz w:val="28"/>
          <w:szCs w:val="28"/>
        </w:rPr>
        <w:footnoteReference w:id="23"/>
      </w:r>
      <w:r w:rsidRPr="006E61DB">
        <w:rPr>
          <w:rFonts w:ascii="Book Antiqua" w:hAnsi="Book Antiqua"/>
          <w:sz w:val="28"/>
          <w:szCs w:val="28"/>
        </w:rPr>
        <w:t xml:space="preserve">. Como </w:t>
      </w:r>
      <w:proofErr w:type="gramStart"/>
      <w:r w:rsidRPr="006E61DB">
        <w:rPr>
          <w:rFonts w:ascii="Book Antiqua" w:hAnsi="Book Antiqua"/>
          <w:sz w:val="28"/>
          <w:szCs w:val="28"/>
        </w:rPr>
        <w:t>señala  Papiniano</w:t>
      </w:r>
      <w:proofErr w:type="gramEnd"/>
      <w:r w:rsidRPr="006E61DB">
        <w:rPr>
          <w:rFonts w:ascii="Book Antiqua" w:hAnsi="Book Antiqua"/>
          <w:sz w:val="28"/>
          <w:szCs w:val="28"/>
        </w:rPr>
        <w:t xml:space="preserve">: </w:t>
      </w:r>
      <w:r w:rsidRPr="006E61DB">
        <w:rPr>
          <w:rFonts w:ascii="Book Antiqua" w:hAnsi="Book Antiqua"/>
          <w:i/>
          <w:sz w:val="28"/>
          <w:szCs w:val="28"/>
        </w:rPr>
        <w:t xml:space="preserve">Sola </w:t>
      </w:r>
      <w:proofErr w:type="spellStart"/>
      <w:r w:rsidRPr="006E61DB">
        <w:rPr>
          <w:rFonts w:ascii="Book Antiqua" w:hAnsi="Book Antiqua"/>
          <w:i/>
          <w:sz w:val="28"/>
          <w:szCs w:val="28"/>
        </w:rPr>
        <w:t>domus</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posessio</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quae</w:t>
      </w:r>
      <w:proofErr w:type="spellEnd"/>
      <w:r w:rsidRPr="006E61DB">
        <w:rPr>
          <w:rFonts w:ascii="Book Antiqua" w:hAnsi="Book Antiqua"/>
          <w:i/>
          <w:sz w:val="28"/>
          <w:szCs w:val="28"/>
        </w:rPr>
        <w:t xml:space="preserve"> in aliena </w:t>
      </w:r>
      <w:proofErr w:type="spellStart"/>
      <w:r w:rsidRPr="006E61DB">
        <w:rPr>
          <w:rFonts w:ascii="Book Antiqua" w:hAnsi="Book Antiqua"/>
          <w:i/>
          <w:sz w:val="28"/>
          <w:szCs w:val="28"/>
        </w:rPr>
        <w:t>civitate</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comparatur</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domicilium</w:t>
      </w:r>
      <w:proofErr w:type="spellEnd"/>
      <w:r w:rsidRPr="006E61DB">
        <w:rPr>
          <w:rFonts w:ascii="Book Antiqua" w:hAnsi="Book Antiqua"/>
          <w:i/>
          <w:sz w:val="28"/>
          <w:szCs w:val="28"/>
        </w:rPr>
        <w:t xml:space="preserve"> non </w:t>
      </w:r>
      <w:proofErr w:type="spellStart"/>
      <w:r w:rsidRPr="006E61DB">
        <w:rPr>
          <w:rFonts w:ascii="Book Antiqua" w:hAnsi="Book Antiqua"/>
          <w:i/>
          <w:sz w:val="28"/>
          <w:szCs w:val="28"/>
        </w:rPr>
        <w:t>facit</w:t>
      </w:r>
      <w:proofErr w:type="spellEnd"/>
      <w:r w:rsidRPr="006E61DB">
        <w:rPr>
          <w:rStyle w:val="Refdenotaalpie"/>
          <w:rFonts w:ascii="Book Antiqua" w:hAnsi="Book Antiqua"/>
          <w:i/>
          <w:sz w:val="28"/>
          <w:szCs w:val="28"/>
        </w:rPr>
        <w:footnoteReference w:id="24"/>
      </w:r>
      <w:r w:rsidRPr="006E61DB">
        <w:rPr>
          <w:rFonts w:ascii="Book Antiqua" w:hAnsi="Book Antiqua"/>
          <w:i/>
          <w:sz w:val="28"/>
          <w:szCs w:val="28"/>
        </w:rPr>
        <w:t>.</w:t>
      </w:r>
      <w:r w:rsidRPr="006E61DB">
        <w:rPr>
          <w:rFonts w:ascii="Book Antiqua" w:hAnsi="Book Antiqua"/>
          <w:sz w:val="28"/>
          <w:szCs w:val="28"/>
        </w:rPr>
        <w:t xml:space="preserve"> La sola posesión de una casa no constituía el domicilio, afirmación ésta d</w:t>
      </w:r>
      <w:r>
        <w:rPr>
          <w:rFonts w:ascii="Book Antiqua" w:hAnsi="Book Antiqua"/>
          <w:sz w:val="28"/>
          <w:szCs w:val="28"/>
        </w:rPr>
        <w:t xml:space="preserve">e la que </w:t>
      </w:r>
      <w:r w:rsidRPr="006E61DB">
        <w:rPr>
          <w:rFonts w:ascii="Book Antiqua" w:hAnsi="Book Antiqua"/>
          <w:sz w:val="28"/>
          <w:szCs w:val="28"/>
        </w:rPr>
        <w:t xml:space="preserve">surgió una abundante casuística. Uno de estos casos es el que recoge Ulpiano, derivado de la existencia de personas que vivían el campo o en </w:t>
      </w:r>
      <w:proofErr w:type="gramStart"/>
      <w:r w:rsidRPr="006E61DB">
        <w:rPr>
          <w:rFonts w:ascii="Book Antiqua" w:hAnsi="Book Antiqua"/>
          <w:sz w:val="28"/>
          <w:szCs w:val="28"/>
        </w:rPr>
        <w:t>colonias</w:t>
      </w:r>
      <w:proofErr w:type="gramEnd"/>
      <w:r w:rsidRPr="006E61DB">
        <w:rPr>
          <w:rFonts w:ascii="Book Antiqua" w:hAnsi="Book Antiqua"/>
          <w:sz w:val="28"/>
          <w:szCs w:val="28"/>
        </w:rPr>
        <w:t xml:space="preserve"> pero “hacen sus negocios en el municipio, venden, contratan, se sirven del foro, de los baños y espectáculos, celebran los días festivos y disfrutan de todas las comodidades”. Es decir, vivían durante meses en un municipio, con sus derechos, obligaciones y magistrados diferentes a los de la colonia de origen. En este caso, señala el jurista que “más bien tiene allí su domicilio, que donde va para cultivar”. Es por ello </w:t>
      </w:r>
      <w:proofErr w:type="gramStart"/>
      <w:r w:rsidRPr="006E61DB">
        <w:rPr>
          <w:rFonts w:ascii="Book Antiqua" w:hAnsi="Book Antiqua"/>
          <w:sz w:val="28"/>
          <w:szCs w:val="28"/>
        </w:rPr>
        <w:t>que</w:t>
      </w:r>
      <w:proofErr w:type="gramEnd"/>
      <w:r w:rsidRPr="006E61DB">
        <w:rPr>
          <w:rFonts w:ascii="Book Antiqua" w:hAnsi="Book Antiqua"/>
          <w:sz w:val="28"/>
          <w:szCs w:val="28"/>
        </w:rPr>
        <w:t xml:space="preserve"> Ulpiano considera que se debe de considerar que el domicilio está en dicho municipio y no en la colonia</w:t>
      </w:r>
      <w:r w:rsidRPr="006E61DB">
        <w:rPr>
          <w:rStyle w:val="Refdenotaalpie"/>
          <w:rFonts w:ascii="Book Antiqua" w:hAnsi="Book Antiqua"/>
          <w:sz w:val="28"/>
          <w:szCs w:val="28"/>
        </w:rPr>
        <w:footnoteReference w:id="25"/>
      </w:r>
      <w:r w:rsidRPr="006E61DB">
        <w:rPr>
          <w:rFonts w:ascii="Book Antiqua" w:hAnsi="Book Antiqua"/>
          <w:sz w:val="28"/>
          <w:szCs w:val="28"/>
        </w:rPr>
        <w:t xml:space="preserve">. El problema que surgía era el mismo </w:t>
      </w:r>
      <w:r w:rsidRPr="006E61DB">
        <w:rPr>
          <w:rFonts w:ascii="Book Antiqua" w:hAnsi="Book Antiqua"/>
          <w:sz w:val="28"/>
          <w:szCs w:val="28"/>
        </w:rPr>
        <w:lastRenderedPageBreak/>
        <w:t xml:space="preserve">que se produce en la actualidad cuando no existe claridad </w:t>
      </w:r>
      <w:proofErr w:type="gramStart"/>
      <w:r w:rsidRPr="006E61DB">
        <w:rPr>
          <w:rFonts w:ascii="Book Antiqua" w:hAnsi="Book Antiqua"/>
          <w:sz w:val="28"/>
          <w:szCs w:val="28"/>
        </w:rPr>
        <w:t>en relación a</w:t>
      </w:r>
      <w:proofErr w:type="gramEnd"/>
      <w:r w:rsidRPr="006E61DB">
        <w:rPr>
          <w:rFonts w:ascii="Book Antiqua" w:hAnsi="Book Antiqua"/>
          <w:sz w:val="28"/>
          <w:szCs w:val="28"/>
        </w:rPr>
        <w:t xml:space="preserve"> la ley aplicable a una controversia, jueces competentes o lugar del pago de impuestos, pero tenía entonces dos aspectos añadidos, como eran el desempeño obligatorio de cargos municipales y el servicio militar de varios años. Por ello las cuestiones que aparecen en los textos justinianeos son diversas. Una de ellas es la derivada del supuesto de que una persona esté viviendo igual tiempo en dos lugares, es decir, el supuesto de que se pudiese tener dos domicilios o, al contrario, el supuesto de aquella otra que, viviendo en un barco o negociando de cualquier modo, estuviese viajando sin tener un domicilio. Este supuesto es recogido por Celso en sus comentarios al libro primero del Digesto</w:t>
      </w:r>
      <w:r w:rsidRPr="006E61DB">
        <w:rPr>
          <w:rStyle w:val="Refdenotaalpie"/>
          <w:rFonts w:ascii="Book Antiqua" w:hAnsi="Book Antiqua"/>
          <w:sz w:val="28"/>
          <w:szCs w:val="28"/>
        </w:rPr>
        <w:footnoteReference w:id="26"/>
      </w:r>
      <w:r w:rsidRPr="006E61DB">
        <w:rPr>
          <w:rFonts w:ascii="Book Antiqua" w:hAnsi="Book Antiqua"/>
          <w:sz w:val="28"/>
          <w:szCs w:val="28"/>
        </w:rPr>
        <w:t xml:space="preserve"> señalando que “si alguno estuviera establecido en dos lugares, y no morase con menos frecuencia en uno que en otro, se ha de entender por la intención de su ánimo donde tiene su </w:t>
      </w:r>
      <w:proofErr w:type="gramStart"/>
      <w:r w:rsidRPr="006E61DB">
        <w:rPr>
          <w:rFonts w:ascii="Book Antiqua" w:hAnsi="Book Antiqua"/>
          <w:sz w:val="28"/>
          <w:szCs w:val="28"/>
        </w:rPr>
        <w:t>domicilio,</w:t>
      </w:r>
      <w:r w:rsidRPr="0024225A">
        <w:rPr>
          <w:rFonts w:ascii="Book Antiqua" w:hAnsi="Book Antiqua"/>
          <w:sz w:val="28"/>
          <w:szCs w:val="28"/>
        </w:rPr>
        <w:t>..</w:t>
      </w:r>
      <w:proofErr w:type="gramEnd"/>
      <w:r w:rsidRPr="006E61DB">
        <w:rPr>
          <w:rFonts w:ascii="Book Antiqua" w:hAnsi="Book Antiqua"/>
          <w:sz w:val="28"/>
          <w:szCs w:val="28"/>
        </w:rPr>
        <w:t xml:space="preserve">”. En este supuesto, el jurista reconoce que, a pesar de sus dudas, es posible que alguien tenga dos domicilios o ninguno, dejando el tema abierto debiendo atender a la intención o ánimo del interesado, creando una situación de inseguridad jurídica. Quizás por ello, sólo dos fragmentos después, los juristas justinianeos insertaron </w:t>
      </w:r>
      <w:r w:rsidRPr="006E61DB">
        <w:rPr>
          <w:rFonts w:ascii="Book Antiqua" w:hAnsi="Book Antiqua"/>
          <w:sz w:val="28"/>
          <w:szCs w:val="28"/>
        </w:rPr>
        <w:lastRenderedPageBreak/>
        <w:t>el texto de Gayo, en donde manifiesta que</w:t>
      </w:r>
      <w:r>
        <w:rPr>
          <w:rFonts w:ascii="Book Antiqua" w:hAnsi="Book Antiqua"/>
          <w:sz w:val="28"/>
          <w:szCs w:val="28"/>
        </w:rPr>
        <w:t xml:space="preserve"> “</w:t>
      </w:r>
      <w:r w:rsidRPr="006E61DB">
        <w:rPr>
          <w:rFonts w:ascii="Book Antiqua" w:hAnsi="Book Antiqua"/>
          <w:sz w:val="28"/>
          <w:szCs w:val="28"/>
        </w:rPr>
        <w:t xml:space="preserve">el </w:t>
      </w:r>
      <w:r w:rsidRPr="001C01CC">
        <w:rPr>
          <w:rFonts w:ascii="Book Antiqua" w:hAnsi="Book Antiqua"/>
          <w:iCs/>
          <w:sz w:val="28"/>
          <w:szCs w:val="28"/>
        </w:rPr>
        <w:t>habitante debe obedecer a los magistrados de las dos jurisdicciones a las que está sujeto, tanto a aquella en la que es ciudadano, como a la de la ciudad en donde habita</w:t>
      </w:r>
      <w:r>
        <w:rPr>
          <w:rFonts w:ascii="Book Antiqua" w:hAnsi="Book Antiqua"/>
          <w:iCs/>
          <w:sz w:val="28"/>
          <w:szCs w:val="28"/>
        </w:rPr>
        <w:t>”</w:t>
      </w:r>
      <w:r w:rsidRPr="006E61DB">
        <w:rPr>
          <w:rStyle w:val="Refdenotaalpie"/>
          <w:rFonts w:ascii="Book Antiqua" w:hAnsi="Book Antiqua"/>
          <w:sz w:val="28"/>
          <w:szCs w:val="28"/>
        </w:rPr>
        <w:footnoteReference w:id="27"/>
      </w:r>
      <w:r w:rsidRPr="006E61DB">
        <w:rPr>
          <w:rFonts w:ascii="Book Antiqua" w:hAnsi="Book Antiqua"/>
          <w:sz w:val="28"/>
          <w:szCs w:val="28"/>
        </w:rPr>
        <w:t>. Con el paso del tiempo surgieron nuevos supuestos, como era de los estudiantes que viajaban de un lugar a otro junto a sus sirvientes y, en algunos casos, sus padres. Se planteaba si habían cambiado de domicilio, tanto los hijos</w:t>
      </w:r>
      <w:r>
        <w:rPr>
          <w:rFonts w:ascii="Book Antiqua" w:hAnsi="Book Antiqua"/>
          <w:sz w:val="28"/>
          <w:szCs w:val="28"/>
        </w:rPr>
        <w:t xml:space="preserve"> </w:t>
      </w:r>
      <w:r w:rsidRPr="006E61DB">
        <w:rPr>
          <w:rFonts w:ascii="Book Antiqua" w:hAnsi="Book Antiqua"/>
          <w:sz w:val="28"/>
          <w:szCs w:val="28"/>
        </w:rPr>
        <w:t>como los padres que los acompañaban, pero la respuesta recogida en el código es clara</w:t>
      </w:r>
      <w:r>
        <w:rPr>
          <w:rFonts w:ascii="Book Antiqua" w:hAnsi="Book Antiqua"/>
          <w:sz w:val="28"/>
          <w:szCs w:val="28"/>
        </w:rPr>
        <w:t xml:space="preserve"> </w:t>
      </w:r>
      <w:r w:rsidRPr="006E61DB">
        <w:rPr>
          <w:rFonts w:ascii="Book Antiqua" w:hAnsi="Book Antiqua"/>
          <w:sz w:val="28"/>
          <w:szCs w:val="28"/>
        </w:rPr>
        <w:t>al señalar que no se cambia de domicilio, salvo que la residencia en el lugar de estudio se alargase más de diez años</w:t>
      </w:r>
      <w:r w:rsidRPr="006E61DB">
        <w:rPr>
          <w:rStyle w:val="Refdenotaalpie"/>
          <w:rFonts w:ascii="Book Antiqua" w:hAnsi="Book Antiqua"/>
          <w:sz w:val="28"/>
          <w:szCs w:val="28"/>
        </w:rPr>
        <w:footnoteReference w:id="28"/>
      </w:r>
      <w:r w:rsidRPr="006E61DB">
        <w:rPr>
          <w:rFonts w:ascii="Book Antiqua" w:hAnsi="Book Antiqua"/>
          <w:sz w:val="28"/>
          <w:szCs w:val="28"/>
        </w:rPr>
        <w:t xml:space="preserve">. </w:t>
      </w:r>
    </w:p>
    <w:p w14:paraId="2D22AFC9" w14:textId="77777777" w:rsidR="004A00AB" w:rsidRPr="006E61DB" w:rsidRDefault="004A00AB" w:rsidP="004A00AB">
      <w:pPr>
        <w:spacing w:line="360" w:lineRule="auto"/>
        <w:ind w:firstLine="703"/>
        <w:jc w:val="both"/>
        <w:rPr>
          <w:rFonts w:ascii="Book Antiqua" w:hAnsi="Book Antiqua"/>
          <w:i/>
          <w:iCs/>
          <w:sz w:val="28"/>
          <w:szCs w:val="28"/>
        </w:rPr>
      </w:pPr>
      <w:r w:rsidRPr="006E61DB">
        <w:rPr>
          <w:rFonts w:ascii="Book Antiqua" w:hAnsi="Book Antiqua"/>
          <w:sz w:val="28"/>
          <w:szCs w:val="28"/>
        </w:rPr>
        <w:t xml:space="preserve">La aparición de personas agrupadas por profesiones, derivadas de la estructura social jerarquizada que implantó Diocleciano y continuó Constantino, como precedente de los gremios medievales, supuso una excepción al </w:t>
      </w:r>
      <w:proofErr w:type="spellStart"/>
      <w:r w:rsidRPr="006E61DB">
        <w:rPr>
          <w:rFonts w:ascii="Book Antiqua" w:hAnsi="Book Antiqua"/>
          <w:i/>
          <w:iCs/>
          <w:sz w:val="28"/>
          <w:szCs w:val="28"/>
        </w:rPr>
        <w:t>forum</w:t>
      </w:r>
      <w:proofErr w:type="spellEnd"/>
      <w:r w:rsidRPr="006E61DB">
        <w:rPr>
          <w:rFonts w:ascii="Book Antiqua" w:hAnsi="Book Antiqua"/>
          <w:i/>
          <w:iCs/>
          <w:sz w:val="28"/>
          <w:szCs w:val="28"/>
        </w:rPr>
        <w:t xml:space="preserve"> </w:t>
      </w:r>
      <w:proofErr w:type="spellStart"/>
      <w:r w:rsidRPr="006E61DB">
        <w:rPr>
          <w:rFonts w:ascii="Book Antiqua" w:hAnsi="Book Antiqua"/>
          <w:i/>
          <w:iCs/>
          <w:sz w:val="28"/>
          <w:szCs w:val="28"/>
        </w:rPr>
        <w:t>domicilii</w:t>
      </w:r>
      <w:proofErr w:type="spellEnd"/>
      <w:r w:rsidRPr="006E61DB">
        <w:rPr>
          <w:rFonts w:ascii="Book Antiqua" w:hAnsi="Book Antiqua"/>
          <w:i/>
          <w:iCs/>
          <w:sz w:val="28"/>
          <w:szCs w:val="28"/>
        </w:rPr>
        <w:t>.</w:t>
      </w:r>
      <w:r w:rsidRPr="006E61DB">
        <w:rPr>
          <w:rFonts w:ascii="Book Antiqua" w:hAnsi="Book Antiqua"/>
          <w:sz w:val="28"/>
          <w:szCs w:val="28"/>
        </w:rPr>
        <w:t xml:space="preserve"> La contradicción era más real que aparente, desde el momento en que los sujetos de derecho estaban adscritos a la tierra, </w:t>
      </w:r>
      <w:proofErr w:type="spellStart"/>
      <w:r w:rsidRPr="006E61DB">
        <w:rPr>
          <w:rFonts w:ascii="Book Antiqua" w:hAnsi="Book Antiqua"/>
          <w:i/>
          <w:sz w:val="28"/>
          <w:szCs w:val="28"/>
        </w:rPr>
        <w:t>origo</w:t>
      </w:r>
      <w:proofErr w:type="spellEnd"/>
      <w:r w:rsidRPr="006E61DB">
        <w:rPr>
          <w:rFonts w:ascii="Book Antiqua" w:hAnsi="Book Antiqua"/>
          <w:i/>
          <w:sz w:val="28"/>
          <w:szCs w:val="28"/>
        </w:rPr>
        <w:t>,</w:t>
      </w:r>
      <w:r w:rsidRPr="006E61DB">
        <w:rPr>
          <w:rFonts w:ascii="Book Antiqua" w:hAnsi="Book Antiqua"/>
          <w:sz w:val="28"/>
          <w:szCs w:val="28"/>
        </w:rPr>
        <w:t xml:space="preserve"> oficio y lugar donde habitaban, sin que, salvo que existiese licencia imperial, pudieran cambiar su </w:t>
      </w:r>
      <w:r w:rsidRPr="006E61DB">
        <w:rPr>
          <w:rFonts w:ascii="Book Antiqua" w:hAnsi="Book Antiqua"/>
          <w:sz w:val="28"/>
          <w:szCs w:val="28"/>
        </w:rPr>
        <w:lastRenderedPageBreak/>
        <w:t>condición. De esta manera</w:t>
      </w:r>
      <w:r>
        <w:rPr>
          <w:rFonts w:ascii="Book Antiqua" w:hAnsi="Book Antiqua"/>
          <w:sz w:val="28"/>
          <w:szCs w:val="28"/>
        </w:rPr>
        <w:t xml:space="preserve">, salvo en lo </w:t>
      </w:r>
      <w:proofErr w:type="gramStart"/>
      <w:r>
        <w:rPr>
          <w:rFonts w:ascii="Book Antiqua" w:hAnsi="Book Antiqua"/>
          <w:sz w:val="28"/>
          <w:szCs w:val="28"/>
        </w:rPr>
        <w:t xml:space="preserve">profesional, </w:t>
      </w:r>
      <w:r w:rsidRPr="006E61DB">
        <w:rPr>
          <w:rFonts w:ascii="Book Antiqua" w:hAnsi="Book Antiqua"/>
          <w:sz w:val="28"/>
          <w:szCs w:val="28"/>
        </w:rPr>
        <w:t xml:space="preserve"> seguían</w:t>
      </w:r>
      <w:proofErr w:type="gramEnd"/>
      <w:r w:rsidRPr="006E61DB">
        <w:rPr>
          <w:rFonts w:ascii="Book Antiqua" w:hAnsi="Book Antiqua"/>
          <w:sz w:val="28"/>
          <w:szCs w:val="28"/>
        </w:rPr>
        <w:t xml:space="preserve"> su</w:t>
      </w:r>
      <w:r>
        <w:rPr>
          <w:rFonts w:ascii="Book Antiqua" w:hAnsi="Book Antiqua"/>
          <w:sz w:val="28"/>
          <w:szCs w:val="28"/>
        </w:rPr>
        <w:t>jetos a las normas de su ciudad</w:t>
      </w:r>
      <w:r w:rsidRPr="006E61DB">
        <w:rPr>
          <w:rFonts w:ascii="Book Antiqua" w:hAnsi="Book Antiqua"/>
          <w:sz w:val="28"/>
          <w:szCs w:val="28"/>
        </w:rPr>
        <w:t xml:space="preserve"> cuyas normas le eran acumuladas a las anteriores. Prueba de ello son las referencias a banqueros y otros colectivos</w:t>
      </w:r>
      <w:r>
        <w:rPr>
          <w:rFonts w:ascii="Book Antiqua" w:hAnsi="Book Antiqua"/>
          <w:sz w:val="28"/>
          <w:szCs w:val="28"/>
        </w:rPr>
        <w:t>: P</w:t>
      </w:r>
      <w:r w:rsidRPr="006E61DB">
        <w:rPr>
          <w:rFonts w:ascii="Book Antiqua" w:hAnsi="Book Antiqua"/>
          <w:sz w:val="28"/>
          <w:szCs w:val="28"/>
        </w:rPr>
        <w:t>ero sirva la constitución del emperador Anastasio</w:t>
      </w:r>
      <w:r w:rsidRPr="006E61DB">
        <w:rPr>
          <w:rStyle w:val="Refdenotaalpie"/>
          <w:rFonts w:ascii="Book Antiqua" w:hAnsi="Book Antiqua"/>
          <w:sz w:val="28"/>
          <w:szCs w:val="28"/>
        </w:rPr>
        <w:footnoteReference w:id="29"/>
      </w:r>
      <w:r w:rsidRPr="006E61DB">
        <w:rPr>
          <w:rFonts w:ascii="Book Antiqua" w:hAnsi="Book Antiqua"/>
          <w:sz w:val="28"/>
          <w:szCs w:val="28"/>
        </w:rPr>
        <w:t>, recogida en C.3.13.7,</w:t>
      </w:r>
      <w:r>
        <w:rPr>
          <w:rFonts w:ascii="Book Antiqua" w:hAnsi="Book Antiqua"/>
          <w:sz w:val="28"/>
          <w:szCs w:val="28"/>
        </w:rPr>
        <w:t xml:space="preserve"> </w:t>
      </w:r>
      <w:r w:rsidRPr="006E61DB">
        <w:rPr>
          <w:rFonts w:ascii="Book Antiqua" w:hAnsi="Book Antiqua"/>
          <w:sz w:val="28"/>
          <w:szCs w:val="28"/>
        </w:rPr>
        <w:t xml:space="preserve">como claro ejemplo de las múltiples existentes, en donde se califica como </w:t>
      </w:r>
      <w:r>
        <w:rPr>
          <w:rFonts w:ascii="Book Antiqua" w:hAnsi="Book Antiqua"/>
          <w:sz w:val="28"/>
          <w:szCs w:val="28"/>
        </w:rPr>
        <w:t>“</w:t>
      </w:r>
      <w:r w:rsidRPr="001C01CC">
        <w:rPr>
          <w:rFonts w:ascii="Book Antiqua" w:hAnsi="Book Antiqua"/>
          <w:iCs/>
          <w:sz w:val="28"/>
          <w:szCs w:val="28"/>
        </w:rPr>
        <w:t>injusto y temerario que los que ejercen ciertas profesiones o comercio se empeñen en declinar la jurisdicción que les es propia en jueces distintos a los de esa profesión o comercio</w:t>
      </w:r>
      <w:r>
        <w:rPr>
          <w:rFonts w:ascii="Book Antiqua" w:hAnsi="Book Antiqua"/>
          <w:iCs/>
          <w:sz w:val="28"/>
          <w:szCs w:val="28"/>
        </w:rPr>
        <w:t>”</w:t>
      </w:r>
      <w:r w:rsidRPr="001C01CC">
        <w:rPr>
          <w:rFonts w:ascii="Book Antiqua" w:hAnsi="Book Antiqua"/>
          <w:iCs/>
          <w:sz w:val="28"/>
          <w:szCs w:val="28"/>
        </w:rPr>
        <w:t>.</w:t>
      </w:r>
    </w:p>
    <w:p w14:paraId="26BE89B0" w14:textId="77777777" w:rsidR="004A00AB" w:rsidRPr="006E61DB" w:rsidRDefault="004A00AB" w:rsidP="004A00AB">
      <w:pPr>
        <w:spacing w:line="360" w:lineRule="auto"/>
        <w:ind w:firstLine="703"/>
        <w:jc w:val="both"/>
        <w:rPr>
          <w:rFonts w:ascii="Book Antiqua" w:hAnsi="Book Antiqua"/>
          <w:sz w:val="28"/>
          <w:szCs w:val="28"/>
        </w:rPr>
      </w:pPr>
      <w:r w:rsidRPr="006E61DB">
        <w:rPr>
          <w:rFonts w:ascii="Book Antiqua" w:hAnsi="Book Antiqua"/>
          <w:sz w:val="28"/>
          <w:szCs w:val="28"/>
        </w:rPr>
        <w:t xml:space="preserve">La dificultad de establecer un concepto objetivo de domicilio llevó a los juristas a adoptar soluciones pragmáticas y de amplia aplicación, en las que se hacía hincapié en la posesión continuada de bienes en un lugar y el desarrollo de la vida ordinaria en el mismo. A tal efecto, es paradigmática la definición de los emperadores Diocleciano y Maximiano recogida en C.10(40)39.7 prescribiendo que domicilio será: </w:t>
      </w:r>
      <w:proofErr w:type="gramStart"/>
      <w:r w:rsidRPr="006E61DB">
        <w:rPr>
          <w:rFonts w:ascii="Book Antiqua" w:hAnsi="Book Antiqua"/>
          <w:sz w:val="28"/>
          <w:szCs w:val="28"/>
        </w:rPr>
        <w:t>“..</w:t>
      </w:r>
      <w:proofErr w:type="gramEnd"/>
      <w:r w:rsidRPr="006E61DB">
        <w:rPr>
          <w:rFonts w:ascii="Book Antiqua" w:hAnsi="Book Antiqua"/>
          <w:sz w:val="28"/>
          <w:szCs w:val="28"/>
        </w:rPr>
        <w:t>lugar donde cada cual constituyó sus lares y el conjunto de cosas y fortuna, y de donde no haya de alejarse otra vez, si nada le obliga, y de donde cuando partió se considera que está de viaje, y cuando volvió, que dejó ya de viajar”</w:t>
      </w:r>
      <w:r w:rsidRPr="006E61DB">
        <w:rPr>
          <w:rStyle w:val="Refdenotaalpie"/>
          <w:rFonts w:ascii="Book Antiqua" w:hAnsi="Book Antiqua"/>
          <w:sz w:val="28"/>
          <w:szCs w:val="28"/>
        </w:rPr>
        <w:footnoteReference w:id="30"/>
      </w:r>
      <w:r w:rsidRPr="006E61DB">
        <w:rPr>
          <w:rFonts w:ascii="Book Antiqua" w:hAnsi="Book Antiqua"/>
          <w:sz w:val="28"/>
          <w:szCs w:val="28"/>
        </w:rPr>
        <w:t xml:space="preserve">. Dicho precepto no </w:t>
      </w:r>
      <w:r w:rsidRPr="006E61DB">
        <w:rPr>
          <w:rFonts w:ascii="Book Antiqua" w:hAnsi="Book Antiqua"/>
          <w:sz w:val="28"/>
          <w:szCs w:val="28"/>
        </w:rPr>
        <w:lastRenderedPageBreak/>
        <w:t xml:space="preserve">cerraba la discusión sobre el concepto jurídico de domicilio, pero completado por los demás iba creando una jurisprudencia que permitía a los jueces dictar sentencias más acertadas y unificadas. </w:t>
      </w:r>
    </w:p>
    <w:p w14:paraId="76B4EC57" w14:textId="77777777" w:rsidR="004A00AB" w:rsidRPr="001C01CC" w:rsidRDefault="004A00AB" w:rsidP="004A00AB">
      <w:pPr>
        <w:spacing w:after="100" w:afterAutospacing="1" w:line="360" w:lineRule="auto"/>
        <w:ind w:firstLine="703"/>
        <w:jc w:val="both"/>
        <w:rPr>
          <w:rFonts w:ascii="Book Antiqua" w:hAnsi="Book Antiqua"/>
          <w:sz w:val="28"/>
          <w:szCs w:val="28"/>
        </w:rPr>
      </w:pPr>
      <w:r w:rsidRPr="006E61DB">
        <w:rPr>
          <w:rFonts w:ascii="Book Antiqua" w:hAnsi="Book Antiqua"/>
          <w:sz w:val="28"/>
          <w:szCs w:val="28"/>
        </w:rPr>
        <w:t xml:space="preserve">Partiendo de la regulación justinianea, la Recepción acogió dichos preceptos y el Derecho común europeo mantuvo 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sz w:val="28"/>
          <w:szCs w:val="28"/>
        </w:rPr>
        <w:t xml:space="preserve">, recogido de acuerdo con el brocardo </w:t>
      </w:r>
      <w:r w:rsidRPr="006E61DB">
        <w:rPr>
          <w:rFonts w:ascii="Book Antiqua" w:hAnsi="Book Antiqua"/>
          <w:i/>
          <w:sz w:val="28"/>
          <w:szCs w:val="28"/>
        </w:rPr>
        <w:t xml:space="preserve">actor </w:t>
      </w:r>
      <w:proofErr w:type="spellStart"/>
      <w:r w:rsidRPr="006E61DB">
        <w:rPr>
          <w:rFonts w:ascii="Book Antiqua" w:hAnsi="Book Antiqua"/>
          <w:i/>
          <w:sz w:val="28"/>
          <w:szCs w:val="28"/>
        </w:rPr>
        <w:t>sequitur</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rei</w:t>
      </w:r>
      <w:proofErr w:type="spellEnd"/>
      <w:r w:rsidRPr="006E61DB">
        <w:rPr>
          <w:rFonts w:ascii="Book Antiqua" w:hAnsi="Book Antiqua"/>
          <w:sz w:val="28"/>
          <w:szCs w:val="28"/>
        </w:rPr>
        <w:t>, como criterio básico en los procesos de índole civil. Se transmitió en los textos jurídicos medievales, pudiendo apreciarse en las Partidas de Alfonso X el Sabio</w:t>
      </w:r>
      <w:r w:rsidRPr="006E61DB">
        <w:rPr>
          <w:rStyle w:val="Refdenotaalpie"/>
          <w:rFonts w:ascii="Book Antiqua" w:hAnsi="Book Antiqua"/>
          <w:sz w:val="28"/>
          <w:szCs w:val="28"/>
        </w:rPr>
        <w:footnoteReference w:id="31"/>
      </w:r>
      <w:r w:rsidRPr="006E61DB">
        <w:rPr>
          <w:rFonts w:ascii="Book Antiqua" w:hAnsi="Book Antiqua"/>
          <w:sz w:val="28"/>
          <w:szCs w:val="28"/>
        </w:rPr>
        <w:t xml:space="preserve"> y en la legislación civil y procesal posterior. No es el momento de analizar la evolución del principio a lo largo de los siglos hasta llegar al siglo XXI, pero lo cierto es que las relaciones personales, comerciales y administrativas, incluyendo la jurisdiccional, así como los adelantos tecnológicos y el cambio de mentalidad han puesto en tela de juicio la bondad del principio </w:t>
      </w:r>
      <w:proofErr w:type="spellStart"/>
      <w:r w:rsidRPr="006E61DB">
        <w:rPr>
          <w:rFonts w:ascii="Book Antiqua" w:hAnsi="Book Antiqua"/>
          <w:i/>
          <w:iCs/>
          <w:sz w:val="28"/>
          <w:szCs w:val="28"/>
        </w:rPr>
        <w:t>forum</w:t>
      </w:r>
      <w:proofErr w:type="spellEnd"/>
      <w:r w:rsidRPr="006E61DB">
        <w:rPr>
          <w:rFonts w:ascii="Book Antiqua" w:hAnsi="Book Antiqua"/>
          <w:i/>
          <w:iCs/>
          <w:sz w:val="28"/>
          <w:szCs w:val="28"/>
        </w:rPr>
        <w:t xml:space="preserve"> </w:t>
      </w:r>
      <w:proofErr w:type="spellStart"/>
      <w:r w:rsidRPr="006E61DB">
        <w:rPr>
          <w:rFonts w:ascii="Book Antiqua" w:hAnsi="Book Antiqua"/>
          <w:i/>
          <w:iCs/>
          <w:sz w:val="28"/>
          <w:szCs w:val="28"/>
        </w:rPr>
        <w:t>domicilii</w:t>
      </w:r>
      <w:proofErr w:type="spellEnd"/>
      <w:r w:rsidRPr="006E61DB">
        <w:rPr>
          <w:rFonts w:ascii="Book Antiqua" w:hAnsi="Book Antiqua"/>
          <w:sz w:val="28"/>
          <w:szCs w:val="28"/>
        </w:rPr>
        <w:t xml:space="preserve">. En esta línea de pensamiento, un amplio número de autores actuales se ha levantado contra este principio en atención a </w:t>
      </w:r>
      <w:r w:rsidRPr="006E61DB">
        <w:rPr>
          <w:rFonts w:ascii="Book Antiqua" w:hAnsi="Book Antiqua"/>
          <w:sz w:val="28"/>
          <w:szCs w:val="28"/>
        </w:rPr>
        <w:lastRenderedPageBreak/>
        <w:t>razonables criterios. Destaca Carrascosa González</w:t>
      </w:r>
      <w:r w:rsidRPr="006E61DB">
        <w:rPr>
          <w:rStyle w:val="Refdenotaalpie"/>
          <w:rFonts w:ascii="Book Antiqua" w:hAnsi="Book Antiqua"/>
          <w:sz w:val="28"/>
          <w:szCs w:val="28"/>
        </w:rPr>
        <w:footnoteReference w:id="32"/>
      </w:r>
      <w:r w:rsidRPr="006E61DB">
        <w:rPr>
          <w:rFonts w:ascii="Book Antiqua" w:hAnsi="Book Antiqua"/>
          <w:sz w:val="28"/>
          <w:szCs w:val="28"/>
        </w:rPr>
        <w:t xml:space="preserve">, quien viene a sintetizar las posturas revisionistas de este principio, afirmando que “discutir la bondad de este principio es pisar un suelo sagrado del templo de los tradicionalmente conocidos como conflictos jurisdiccionales, y, en segundo lugar, nadie osa discutir su carácter universal, como si de una norma de Derecho natural se tratase”. Cita este autor una serie de principios jurídicos o argumentos que se han venido utilizando sin discusión a lo largo de los siglos cuya fuerza y justificación se han visto debilitadas con el devenir de los tiempos y las nuevas formas de contratación. En </w:t>
      </w:r>
      <w:r>
        <w:rPr>
          <w:rFonts w:ascii="Book Antiqua" w:hAnsi="Book Antiqua"/>
          <w:sz w:val="28"/>
          <w:szCs w:val="28"/>
        </w:rPr>
        <w:t xml:space="preserve">un mundo con principios nuevos </w:t>
      </w:r>
      <w:r w:rsidRPr="006E61DB">
        <w:rPr>
          <w:rFonts w:ascii="Book Antiqua" w:hAnsi="Book Antiqua"/>
          <w:sz w:val="28"/>
          <w:szCs w:val="28"/>
        </w:rPr>
        <w:t>esas soluciones que no dejan de ser útiles,</w:t>
      </w:r>
      <w:r>
        <w:rPr>
          <w:rFonts w:ascii="Book Antiqua" w:hAnsi="Book Antiqua"/>
          <w:sz w:val="28"/>
          <w:szCs w:val="28"/>
        </w:rPr>
        <w:t xml:space="preserve"> pero</w:t>
      </w:r>
      <w:r w:rsidRPr="006E61DB">
        <w:rPr>
          <w:rFonts w:ascii="Book Antiqua" w:hAnsi="Book Antiqua"/>
          <w:sz w:val="28"/>
          <w:szCs w:val="28"/>
        </w:rPr>
        <w:t xml:space="preserve"> no deberían ser ni las únicas ni aceptadas de forma automática. P</w:t>
      </w:r>
      <w:r>
        <w:rPr>
          <w:rFonts w:ascii="Book Antiqua" w:hAnsi="Book Antiqua"/>
          <w:sz w:val="28"/>
          <w:szCs w:val="28"/>
        </w:rPr>
        <w:t xml:space="preserve">ara estos autores revisionistas </w:t>
      </w:r>
      <w:r w:rsidRPr="006E61DB">
        <w:rPr>
          <w:rFonts w:ascii="Book Antiqua" w:hAnsi="Book Antiqua"/>
          <w:sz w:val="28"/>
          <w:szCs w:val="28"/>
        </w:rPr>
        <w:t xml:space="preserve">serían causas caducas que han fundamentado la pervivencia del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w:t>
      </w:r>
      <w:r>
        <w:rPr>
          <w:rFonts w:ascii="Book Antiqua" w:hAnsi="Book Antiqua"/>
          <w:i/>
          <w:sz w:val="28"/>
          <w:szCs w:val="28"/>
        </w:rPr>
        <w:t>i</w:t>
      </w:r>
      <w:proofErr w:type="spellEnd"/>
      <w:r>
        <w:rPr>
          <w:rFonts w:ascii="Book Antiqua" w:hAnsi="Book Antiqua"/>
          <w:sz w:val="28"/>
          <w:szCs w:val="28"/>
        </w:rPr>
        <w:t xml:space="preserve"> el p</w:t>
      </w:r>
      <w:r w:rsidRPr="006E61DB">
        <w:rPr>
          <w:rFonts w:ascii="Book Antiqua" w:hAnsi="Book Antiqua"/>
          <w:sz w:val="28"/>
          <w:szCs w:val="28"/>
        </w:rPr>
        <w:t>rincipio de soberanía del gobernante sobre el demandado</w:t>
      </w:r>
      <w:r>
        <w:rPr>
          <w:rFonts w:ascii="Book Antiqua" w:hAnsi="Book Antiqua"/>
          <w:sz w:val="28"/>
          <w:szCs w:val="28"/>
        </w:rPr>
        <w:t xml:space="preserve">, el de economía procesal o la necesidad de </w:t>
      </w:r>
      <w:r w:rsidRPr="006E61DB">
        <w:rPr>
          <w:rFonts w:ascii="Book Antiqua" w:hAnsi="Book Antiqua"/>
          <w:sz w:val="28"/>
          <w:szCs w:val="28"/>
        </w:rPr>
        <w:t>evitar procedimientos sin fundamento</w:t>
      </w:r>
      <w:r>
        <w:rPr>
          <w:rFonts w:ascii="Book Antiqua" w:hAnsi="Book Antiqua"/>
          <w:sz w:val="28"/>
          <w:szCs w:val="28"/>
        </w:rPr>
        <w:t xml:space="preserve">. </w:t>
      </w:r>
      <w:r w:rsidRPr="006E61DB">
        <w:rPr>
          <w:rFonts w:ascii="Book Antiqua" w:hAnsi="Book Antiqua"/>
          <w:sz w:val="28"/>
          <w:szCs w:val="28"/>
        </w:rPr>
        <w:t xml:space="preserve">Igual </w:t>
      </w:r>
      <w:r>
        <w:rPr>
          <w:rFonts w:ascii="Book Antiqua" w:hAnsi="Book Antiqua"/>
          <w:sz w:val="28"/>
          <w:szCs w:val="28"/>
        </w:rPr>
        <w:t>reflexión merece</w:t>
      </w:r>
      <w:r w:rsidRPr="006E61DB">
        <w:rPr>
          <w:rFonts w:ascii="Book Antiqua" w:hAnsi="Book Antiqua"/>
          <w:sz w:val="28"/>
          <w:szCs w:val="28"/>
        </w:rPr>
        <w:t xml:space="preserve"> el principio de inocencia que obliga </w:t>
      </w:r>
      <w:r w:rsidRPr="001C01CC">
        <w:rPr>
          <w:rFonts w:ascii="Book Antiqua" w:hAnsi="Book Antiqua"/>
          <w:sz w:val="28"/>
          <w:szCs w:val="28"/>
        </w:rPr>
        <w:t>a</w:t>
      </w:r>
      <w:r w:rsidRPr="006E61DB">
        <w:rPr>
          <w:rFonts w:ascii="Book Antiqua" w:hAnsi="Book Antiqua"/>
          <w:sz w:val="28"/>
          <w:szCs w:val="28"/>
        </w:rPr>
        <w:t xml:space="preserve"> demandante y no </w:t>
      </w:r>
      <w:proofErr w:type="spellStart"/>
      <w:r w:rsidRPr="001C01CC">
        <w:rPr>
          <w:rFonts w:ascii="Book Antiqua" w:hAnsi="Book Antiqua"/>
          <w:sz w:val="28"/>
          <w:szCs w:val="28"/>
        </w:rPr>
        <w:t>a</w:t>
      </w:r>
      <w:proofErr w:type="spellEnd"/>
      <w:r w:rsidRPr="006E61DB">
        <w:rPr>
          <w:rFonts w:ascii="Book Antiqua" w:hAnsi="Book Antiqua"/>
          <w:sz w:val="28"/>
          <w:szCs w:val="28"/>
        </w:rPr>
        <w:t xml:space="preserve"> demandado a iniciar lo</w:t>
      </w:r>
      <w:r>
        <w:rPr>
          <w:rFonts w:ascii="Book Antiqua" w:hAnsi="Book Antiqua"/>
          <w:sz w:val="28"/>
          <w:szCs w:val="28"/>
        </w:rPr>
        <w:t>s gastos y trámites del proceso, del mismo modo que no</w:t>
      </w:r>
      <w:r w:rsidRPr="006E61DB">
        <w:rPr>
          <w:rFonts w:ascii="Book Antiqua" w:hAnsi="Book Antiqua"/>
          <w:sz w:val="28"/>
          <w:szCs w:val="28"/>
        </w:rPr>
        <w:t xml:space="preserve"> siempre cierto que favorece una más r</w:t>
      </w:r>
      <w:r>
        <w:rPr>
          <w:rFonts w:ascii="Book Antiqua" w:hAnsi="Book Antiqua"/>
          <w:sz w:val="28"/>
          <w:szCs w:val="28"/>
        </w:rPr>
        <w:t xml:space="preserve">ápida ejecución de la sentencia o de </w:t>
      </w:r>
      <w:r w:rsidRPr="006E61DB">
        <w:rPr>
          <w:rFonts w:ascii="Book Antiqua" w:hAnsi="Book Antiqua"/>
          <w:sz w:val="28"/>
          <w:szCs w:val="28"/>
        </w:rPr>
        <w:t>acum</w:t>
      </w:r>
      <w:r>
        <w:rPr>
          <w:rFonts w:ascii="Book Antiqua" w:hAnsi="Book Antiqua"/>
          <w:sz w:val="28"/>
          <w:szCs w:val="28"/>
        </w:rPr>
        <w:t>ulación de autos, si existieren. Igual consideración merece el argumento de l</w:t>
      </w:r>
      <w:r w:rsidRPr="006E61DB">
        <w:rPr>
          <w:rFonts w:ascii="Book Antiqua" w:hAnsi="Book Antiqua"/>
          <w:sz w:val="28"/>
          <w:szCs w:val="28"/>
        </w:rPr>
        <w:t xml:space="preserve">a previsibilidad del lugar del </w:t>
      </w:r>
      <w:r w:rsidRPr="006E61DB">
        <w:rPr>
          <w:rFonts w:ascii="Book Antiqua" w:hAnsi="Book Antiqua"/>
          <w:sz w:val="28"/>
          <w:szCs w:val="28"/>
        </w:rPr>
        <w:lastRenderedPageBreak/>
        <w:t>litigio, en caso de desencuentro entre las partes, con todo lo que ello lleva consigo de acomodación a unos jueces y normas conocidos con antelación a la lucha jurisdiccional.  Todos estos argumentos son puestos en tela de juicio por Carrascosa y otros autores</w:t>
      </w:r>
      <w:r>
        <w:rPr>
          <w:rFonts w:ascii="Book Antiqua" w:hAnsi="Book Antiqua"/>
          <w:sz w:val="28"/>
          <w:szCs w:val="28"/>
        </w:rPr>
        <w:t xml:space="preserve"> que recuerdan que</w:t>
      </w:r>
      <w:r w:rsidRPr="006E61DB">
        <w:rPr>
          <w:rFonts w:ascii="Book Antiqua" w:hAnsi="Book Antiqua"/>
          <w:sz w:val="28"/>
          <w:szCs w:val="28"/>
        </w:rPr>
        <w:t xml:space="preserve"> no siempre el demandado es la parte cumplidora y honesta en la ejecución de una relación jurídica. Incluso puede </w:t>
      </w:r>
      <w:r>
        <w:rPr>
          <w:rFonts w:ascii="Book Antiqua" w:hAnsi="Book Antiqua"/>
          <w:sz w:val="28"/>
          <w:szCs w:val="28"/>
        </w:rPr>
        <w:t xml:space="preserve">ser </w:t>
      </w:r>
      <w:r w:rsidRPr="006E61DB">
        <w:rPr>
          <w:rFonts w:ascii="Book Antiqua" w:hAnsi="Book Antiqua"/>
          <w:sz w:val="28"/>
          <w:szCs w:val="28"/>
        </w:rPr>
        <w:t xml:space="preserve">el demandado el responsable de un incumplimiento o unos daños ocasionados culposa o dolosamente aprovechando la dificultad del demandante para plantear el litigio. A mayor abundamiento, en la sociedad actual, que postula la libre circulación de bienes entre estados que buscan la unidad, la </w:t>
      </w:r>
      <w:proofErr w:type="gramStart"/>
      <w:r w:rsidRPr="006E61DB">
        <w:rPr>
          <w:rFonts w:ascii="Book Antiqua" w:hAnsi="Book Antiqua"/>
          <w:sz w:val="28"/>
          <w:szCs w:val="28"/>
        </w:rPr>
        <w:t xml:space="preserve">regla </w:t>
      </w:r>
      <w:r w:rsidRPr="006E61DB">
        <w:rPr>
          <w:rFonts w:ascii="Book Antiqua" w:hAnsi="Book Antiqua"/>
          <w:i/>
          <w:sz w:val="28"/>
          <w:szCs w:val="28"/>
        </w:rPr>
        <w:t>actor</w:t>
      </w:r>
      <w:proofErr w:type="gramEnd"/>
      <w:r w:rsidRPr="006E61DB">
        <w:rPr>
          <w:rFonts w:ascii="Book Antiqua" w:hAnsi="Book Antiqua"/>
          <w:i/>
          <w:sz w:val="28"/>
          <w:szCs w:val="28"/>
        </w:rPr>
        <w:t xml:space="preserve"> </w:t>
      </w:r>
      <w:proofErr w:type="spellStart"/>
      <w:r w:rsidRPr="006E61DB">
        <w:rPr>
          <w:rFonts w:ascii="Book Antiqua" w:hAnsi="Book Antiqua"/>
          <w:i/>
          <w:sz w:val="28"/>
          <w:szCs w:val="28"/>
        </w:rPr>
        <w:t>sequitur</w:t>
      </w:r>
      <w:proofErr w:type="spellEnd"/>
      <w:r w:rsidRPr="006E61DB">
        <w:rPr>
          <w:rFonts w:ascii="Book Antiqua" w:hAnsi="Book Antiqua"/>
          <w:i/>
          <w:sz w:val="28"/>
          <w:szCs w:val="28"/>
        </w:rPr>
        <w:t xml:space="preserve"> </w:t>
      </w:r>
      <w:r w:rsidRPr="006E61DB">
        <w:rPr>
          <w:rFonts w:ascii="Book Antiqua" w:hAnsi="Book Antiqua"/>
          <w:sz w:val="28"/>
          <w:szCs w:val="28"/>
        </w:rPr>
        <w:t xml:space="preserve">devendría injusta e ineficiente, desincentivando las relaciones internacionales. Estos autores proponen otros foros más eficientes como 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rei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sitae</w:t>
      </w:r>
      <w:proofErr w:type="spellEnd"/>
      <w:r w:rsidRPr="006E61DB">
        <w:rPr>
          <w:rFonts w:ascii="Book Antiqua" w:hAnsi="Book Antiqua"/>
          <w:sz w:val="28"/>
          <w:szCs w:val="28"/>
        </w:rPr>
        <w:t xml:space="preserve"> o el de mayor nexo del litigio con los hechos debatidos. </w:t>
      </w:r>
      <w:r w:rsidRPr="006E61DB">
        <w:rPr>
          <w:rFonts w:ascii="Book Antiqua" w:hAnsi="Book Antiqua"/>
          <w:b/>
          <w:sz w:val="28"/>
          <w:szCs w:val="28"/>
        </w:rPr>
        <w:t xml:space="preserve"> </w:t>
      </w:r>
      <w:r w:rsidRPr="006E61DB">
        <w:rPr>
          <w:rFonts w:ascii="Book Antiqua" w:hAnsi="Book Antiqua"/>
          <w:sz w:val="28"/>
          <w:szCs w:val="28"/>
        </w:rPr>
        <w:t xml:space="preserve">En este sentido, apuntan un cambio en la línea jurisprudencial del </w:t>
      </w:r>
      <w:proofErr w:type="spellStart"/>
      <w:r w:rsidRPr="006E61DB">
        <w:rPr>
          <w:rFonts w:ascii="Book Antiqua" w:hAnsi="Book Antiqua"/>
          <w:sz w:val="28"/>
          <w:szCs w:val="28"/>
        </w:rPr>
        <w:t>TJUE</w:t>
      </w:r>
      <w:proofErr w:type="spellEnd"/>
      <w:r w:rsidRPr="006E61DB">
        <w:rPr>
          <w:rFonts w:ascii="Book Antiqua" w:hAnsi="Book Antiqua"/>
          <w:sz w:val="28"/>
          <w:szCs w:val="28"/>
        </w:rPr>
        <w:t>, c</w:t>
      </w:r>
      <w:r>
        <w:rPr>
          <w:rFonts w:ascii="Book Antiqua" w:hAnsi="Book Antiqua"/>
          <w:sz w:val="28"/>
          <w:szCs w:val="28"/>
        </w:rPr>
        <w:t>itando sentencias</w:t>
      </w:r>
      <w:r w:rsidRPr="006E61DB">
        <w:rPr>
          <w:rFonts w:ascii="Book Antiqua" w:hAnsi="Book Antiqua"/>
          <w:sz w:val="28"/>
          <w:szCs w:val="28"/>
        </w:rPr>
        <w:t xml:space="preserve"> como la de octubre de 2018, C-337, </w:t>
      </w:r>
      <w:proofErr w:type="spellStart"/>
      <w:r w:rsidRPr="006E61DB">
        <w:rPr>
          <w:rFonts w:ascii="Book Antiqua" w:hAnsi="Book Antiqua"/>
          <w:sz w:val="28"/>
          <w:szCs w:val="28"/>
        </w:rPr>
        <w:t>Feniks</w:t>
      </w:r>
      <w:proofErr w:type="spellEnd"/>
      <w:r w:rsidRPr="006E61DB">
        <w:rPr>
          <w:rFonts w:ascii="Book Antiqua" w:hAnsi="Book Antiqua"/>
          <w:sz w:val="28"/>
          <w:szCs w:val="28"/>
        </w:rPr>
        <w:t xml:space="preserve">, </w:t>
      </w:r>
      <w:proofErr w:type="spellStart"/>
      <w:r w:rsidRPr="006E61DB">
        <w:rPr>
          <w:rFonts w:ascii="Book Antiqua" w:hAnsi="Book Antiqua"/>
          <w:sz w:val="28"/>
          <w:szCs w:val="28"/>
        </w:rPr>
        <w:t>FD</w:t>
      </w:r>
      <w:proofErr w:type="spellEnd"/>
      <w:r w:rsidRPr="006E61DB">
        <w:rPr>
          <w:rFonts w:ascii="Book Antiqua" w:hAnsi="Book Antiqua"/>
          <w:sz w:val="28"/>
          <w:szCs w:val="28"/>
        </w:rPr>
        <w:t xml:space="preserve"> 36, que evidencian que los llamados foros “excepción” de los Reglamentos</w:t>
      </w:r>
      <w:r>
        <w:rPr>
          <w:rFonts w:ascii="Book Antiqua" w:hAnsi="Book Antiqua"/>
          <w:sz w:val="28"/>
          <w:szCs w:val="28"/>
        </w:rPr>
        <w:t xml:space="preserve"> </w:t>
      </w:r>
      <w:r w:rsidRPr="006E61DB">
        <w:rPr>
          <w:rFonts w:ascii="Book Antiqua" w:hAnsi="Book Antiqua"/>
          <w:sz w:val="28"/>
          <w:szCs w:val="28"/>
        </w:rPr>
        <w:t>“completan” la competencia derivada del foro del domicilio y los hacen más justos</w:t>
      </w:r>
      <w:r>
        <w:rPr>
          <w:rStyle w:val="Refdenotaalpie"/>
          <w:rFonts w:ascii="Book Antiqua" w:hAnsi="Book Antiqua"/>
          <w:sz w:val="28"/>
          <w:szCs w:val="28"/>
        </w:rPr>
        <w:footnoteReference w:id="33"/>
      </w:r>
      <w:r w:rsidRPr="006E61DB">
        <w:rPr>
          <w:rFonts w:ascii="Book Antiqua" w:hAnsi="Book Antiqua"/>
          <w:sz w:val="28"/>
          <w:szCs w:val="28"/>
        </w:rPr>
        <w:t>.</w:t>
      </w:r>
      <w:r w:rsidRPr="006E61DB">
        <w:rPr>
          <w:rFonts w:ascii="Book Antiqua" w:hAnsi="Book Antiqua"/>
          <w:b/>
          <w:sz w:val="28"/>
          <w:szCs w:val="28"/>
        </w:rPr>
        <w:t xml:space="preserve"> </w:t>
      </w:r>
    </w:p>
    <w:p w14:paraId="15DBC9C8" w14:textId="77777777" w:rsidR="004A00AB" w:rsidRPr="006E61DB" w:rsidRDefault="004A00AB" w:rsidP="004A00AB">
      <w:pPr>
        <w:spacing w:after="100" w:afterAutospacing="1" w:line="480" w:lineRule="auto"/>
        <w:jc w:val="both"/>
        <w:rPr>
          <w:rFonts w:ascii="Book Antiqua" w:hAnsi="Book Antiqua"/>
          <w:i/>
          <w:sz w:val="28"/>
          <w:szCs w:val="28"/>
        </w:rPr>
      </w:pPr>
      <w:r w:rsidRPr="006E61DB">
        <w:rPr>
          <w:rFonts w:ascii="Book Antiqua" w:hAnsi="Book Antiqua"/>
          <w:sz w:val="28"/>
          <w:szCs w:val="28"/>
        </w:rPr>
        <w:lastRenderedPageBreak/>
        <w:t xml:space="preserve">III.2.- </w:t>
      </w:r>
      <w:proofErr w:type="gramStart"/>
      <w:r w:rsidRPr="006E61DB">
        <w:rPr>
          <w:rFonts w:ascii="Book Antiqua" w:hAnsi="Book Antiqua"/>
          <w:sz w:val="28"/>
          <w:szCs w:val="28"/>
        </w:rPr>
        <w:t>Evolución  desde</w:t>
      </w:r>
      <w:proofErr w:type="gramEnd"/>
      <w:r w:rsidRPr="006E61DB">
        <w:rPr>
          <w:rFonts w:ascii="Book Antiqua" w:hAnsi="Book Antiqua"/>
          <w:sz w:val="28"/>
          <w:szCs w:val="28"/>
        </w:rPr>
        <w:t xml:space="preserve"> el</w:t>
      </w:r>
      <w:r w:rsidRPr="006E61DB">
        <w:rPr>
          <w:rFonts w:ascii="Book Antiqua" w:hAnsi="Book Antiqua"/>
          <w:i/>
          <w:sz w:val="28"/>
          <w:szCs w:val="28"/>
        </w:rPr>
        <w:t xml:space="preserve">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i/>
          <w:sz w:val="28"/>
          <w:szCs w:val="28"/>
        </w:rPr>
        <w:t xml:space="preserve"> a la “</w:t>
      </w:r>
      <w:r w:rsidRPr="006E61DB">
        <w:rPr>
          <w:rFonts w:ascii="Book Antiqua" w:hAnsi="Book Antiqua"/>
          <w:sz w:val="28"/>
          <w:szCs w:val="28"/>
        </w:rPr>
        <w:t>residencia habitual”</w:t>
      </w:r>
      <w:r w:rsidRPr="006E61DB">
        <w:rPr>
          <w:rFonts w:ascii="Book Antiqua" w:hAnsi="Book Antiqua"/>
          <w:i/>
          <w:sz w:val="28"/>
          <w:szCs w:val="28"/>
        </w:rPr>
        <w:t xml:space="preserve"> </w:t>
      </w:r>
      <w:r w:rsidRPr="006E61DB">
        <w:rPr>
          <w:rFonts w:ascii="Book Antiqua" w:hAnsi="Book Antiqua"/>
          <w:sz w:val="28"/>
          <w:szCs w:val="28"/>
        </w:rPr>
        <w:t>y “centro de intereses”</w:t>
      </w:r>
      <w:r w:rsidRPr="006E61DB">
        <w:rPr>
          <w:rFonts w:ascii="Book Antiqua" w:hAnsi="Book Antiqua"/>
          <w:i/>
          <w:sz w:val="28"/>
          <w:szCs w:val="28"/>
        </w:rPr>
        <w:t>.</w:t>
      </w:r>
    </w:p>
    <w:p w14:paraId="2BD8C105" w14:textId="77777777" w:rsidR="004A00AB" w:rsidRPr="006E61DB" w:rsidRDefault="004A00AB" w:rsidP="004A00AB">
      <w:pPr>
        <w:spacing w:after="100" w:afterAutospacing="1" w:line="480" w:lineRule="auto"/>
        <w:jc w:val="both"/>
        <w:rPr>
          <w:rFonts w:ascii="Book Antiqua" w:hAnsi="Book Antiqua"/>
          <w:sz w:val="28"/>
          <w:szCs w:val="28"/>
        </w:rPr>
      </w:pPr>
      <w:r w:rsidRPr="006E61DB">
        <w:rPr>
          <w:rFonts w:ascii="Book Antiqua" w:hAnsi="Book Antiqua"/>
          <w:sz w:val="28"/>
          <w:szCs w:val="28"/>
        </w:rPr>
        <w:tab/>
        <w:t>El domicilio es un concepto jurídico, mientras que la re</w:t>
      </w:r>
      <w:r>
        <w:rPr>
          <w:rFonts w:ascii="Book Antiqua" w:hAnsi="Book Antiqua"/>
          <w:sz w:val="28"/>
          <w:szCs w:val="28"/>
        </w:rPr>
        <w:t>sidencia es un concepto fáctico</w:t>
      </w:r>
      <w:r w:rsidRPr="006E61DB">
        <w:rPr>
          <w:rFonts w:ascii="Book Antiqua" w:hAnsi="Book Antiqua"/>
          <w:sz w:val="28"/>
          <w:szCs w:val="28"/>
        </w:rPr>
        <w:t xml:space="preserve"> que puede no coincidir con aquél. </w:t>
      </w:r>
      <w:r>
        <w:rPr>
          <w:rFonts w:ascii="Book Antiqua" w:hAnsi="Book Antiqua"/>
          <w:sz w:val="28"/>
          <w:szCs w:val="28"/>
        </w:rPr>
        <w:t>El artículo 40 de n</w:t>
      </w:r>
      <w:r w:rsidRPr="006E61DB">
        <w:rPr>
          <w:rFonts w:ascii="Book Antiqua" w:hAnsi="Book Antiqua"/>
          <w:sz w:val="28"/>
          <w:szCs w:val="28"/>
        </w:rPr>
        <w:t>uestro Código Civil</w:t>
      </w:r>
      <w:r>
        <w:rPr>
          <w:rFonts w:ascii="Book Antiqua" w:hAnsi="Book Antiqua"/>
          <w:sz w:val="28"/>
          <w:szCs w:val="28"/>
        </w:rPr>
        <w:t xml:space="preserve"> </w:t>
      </w:r>
      <w:r w:rsidRPr="006E61DB">
        <w:rPr>
          <w:rFonts w:ascii="Book Antiqua" w:hAnsi="Book Antiqua"/>
          <w:sz w:val="28"/>
          <w:szCs w:val="28"/>
        </w:rPr>
        <w:t>los une, señalando que el domicilio de las personas naturales se determina por la residencia, lo cual es indudable, pues si nunca se ha residido difícilmente se puede acreditar domicilio. Pero dicha afirmación ha requerido matizaciones, pues, en algunos artículos se habla de residencia y en otros de domicilio, como en el artículo 70</w:t>
      </w:r>
      <w:r>
        <w:rPr>
          <w:rFonts w:ascii="Book Antiqua" w:hAnsi="Book Antiqua"/>
          <w:sz w:val="28"/>
          <w:szCs w:val="28"/>
        </w:rPr>
        <w:t xml:space="preserve"> que establece</w:t>
      </w:r>
      <w:r w:rsidRPr="006E61DB">
        <w:rPr>
          <w:rFonts w:ascii="Book Antiqua" w:hAnsi="Book Antiqua"/>
          <w:sz w:val="28"/>
          <w:szCs w:val="28"/>
        </w:rPr>
        <w:t xml:space="preserve"> que </w:t>
      </w:r>
      <w:r>
        <w:rPr>
          <w:rFonts w:ascii="Book Antiqua" w:hAnsi="Book Antiqua"/>
          <w:sz w:val="28"/>
          <w:szCs w:val="28"/>
        </w:rPr>
        <w:t>“</w:t>
      </w:r>
      <w:r w:rsidRPr="00623E76">
        <w:rPr>
          <w:rFonts w:ascii="Book Antiqua" w:hAnsi="Book Antiqua"/>
          <w:color w:val="000000"/>
          <w:sz w:val="28"/>
          <w:szCs w:val="28"/>
          <w:shd w:val="clear" w:color="auto" w:fill="FFFFFF"/>
        </w:rPr>
        <w:t>Los cónyuges fijarán de común acuerdo el domicilio conyugal</w:t>
      </w:r>
      <w:r>
        <w:rPr>
          <w:rFonts w:ascii="Book Antiqua" w:hAnsi="Book Antiqua"/>
          <w:color w:val="000000"/>
          <w:sz w:val="28"/>
          <w:szCs w:val="28"/>
          <w:shd w:val="clear" w:color="auto" w:fill="FFFFFF"/>
        </w:rPr>
        <w:t>”</w:t>
      </w:r>
      <w:r w:rsidRPr="006E61DB">
        <w:rPr>
          <w:rFonts w:ascii="Book Antiqua" w:hAnsi="Book Antiqua"/>
          <w:i/>
          <w:color w:val="000000"/>
          <w:sz w:val="28"/>
          <w:szCs w:val="28"/>
          <w:shd w:val="clear" w:color="auto" w:fill="FFFFFF"/>
        </w:rPr>
        <w:t>.</w:t>
      </w:r>
      <w:r w:rsidRPr="006E61DB">
        <w:rPr>
          <w:rFonts w:ascii="Book Antiqua" w:hAnsi="Book Antiqua"/>
          <w:sz w:val="28"/>
          <w:szCs w:val="28"/>
        </w:rPr>
        <w:t xml:space="preserve"> Igual ha sucedido </w:t>
      </w:r>
      <w:r w:rsidRPr="006E61DB">
        <w:rPr>
          <w:rFonts w:ascii="Book Antiqua" w:hAnsi="Book Antiqua"/>
          <w:sz w:val="28"/>
          <w:szCs w:val="28"/>
        </w:rPr>
        <w:lastRenderedPageBreak/>
        <w:t>en la regulación comunitaria. El llamado Reglamento Roma I</w:t>
      </w:r>
      <w:r>
        <w:rPr>
          <w:rFonts w:ascii="Book Antiqua" w:hAnsi="Book Antiqua"/>
          <w:sz w:val="28"/>
          <w:szCs w:val="28"/>
        </w:rPr>
        <w:t>,</w:t>
      </w:r>
      <w:r w:rsidRPr="006E61DB">
        <w:rPr>
          <w:rFonts w:ascii="Book Antiqua" w:hAnsi="Book Antiqua"/>
          <w:sz w:val="28"/>
          <w:szCs w:val="28"/>
        </w:rPr>
        <w:t xml:space="preserve"> sobre </w:t>
      </w:r>
      <w:r w:rsidRPr="00623E76">
        <w:rPr>
          <w:rFonts w:ascii="Book Antiqua" w:hAnsi="Book Antiqua"/>
          <w:sz w:val="28"/>
          <w:szCs w:val="28"/>
        </w:rPr>
        <w:t>la ley aplicable</w:t>
      </w:r>
      <w:r w:rsidRPr="006E61DB">
        <w:rPr>
          <w:rFonts w:ascii="Book Antiqua" w:hAnsi="Book Antiqua"/>
          <w:sz w:val="28"/>
          <w:szCs w:val="28"/>
        </w:rPr>
        <w:t xml:space="preserve"> a las oblig</w:t>
      </w:r>
      <w:r w:rsidRPr="00623E76">
        <w:rPr>
          <w:rFonts w:ascii="Book Antiqua" w:hAnsi="Book Antiqua"/>
          <w:sz w:val="28"/>
          <w:szCs w:val="28"/>
        </w:rPr>
        <w:t>aciones contractuales, parte de la libertad de las partes para establecer la que se aplicará a la relación contractual (artículo 3) y, en su defecto, establece la normativa a la que se someterá el contrato. A tal efecto</w:t>
      </w:r>
      <w:r w:rsidRPr="006E61DB">
        <w:rPr>
          <w:rFonts w:ascii="Book Antiqua" w:hAnsi="Book Antiqua"/>
          <w:sz w:val="28"/>
          <w:szCs w:val="28"/>
        </w:rPr>
        <w:t xml:space="preserve"> se introduce por el legislador comunitario el concepto “residencia habitual”, que podrá coincidir</w:t>
      </w:r>
      <w:r>
        <w:rPr>
          <w:rFonts w:ascii="Book Antiqua" w:hAnsi="Book Antiqua"/>
          <w:sz w:val="28"/>
          <w:szCs w:val="28"/>
        </w:rPr>
        <w:t xml:space="preserve"> o no</w:t>
      </w:r>
      <w:r w:rsidRPr="006E61DB">
        <w:rPr>
          <w:rFonts w:ascii="Book Antiqua" w:hAnsi="Book Antiqua"/>
          <w:sz w:val="28"/>
          <w:szCs w:val="28"/>
        </w:rPr>
        <w:t xml:space="preserve"> con el domicilio de demandante o demandado para toda una serie de contratos que se citan en los artículos siguientes. De este modo, en el artículo 4 del citado Reglamento se relacionan los contratos de compraventa de mercaderías, prestación de servicios, franquicia y distribución y venta bienes en subasta. A ellos se unen los contratos de transporte, consumo, seguros y de trabajo como fueros excepcionales a la regla general</w:t>
      </w:r>
      <w:r w:rsidRPr="006E61DB">
        <w:rPr>
          <w:rStyle w:val="Refdenotaalpie"/>
          <w:rFonts w:ascii="Book Antiqua" w:hAnsi="Book Antiqua"/>
          <w:sz w:val="28"/>
          <w:szCs w:val="28"/>
        </w:rPr>
        <w:footnoteReference w:id="34"/>
      </w:r>
      <w:r w:rsidRPr="006E61DB">
        <w:rPr>
          <w:rFonts w:ascii="Book Antiqua" w:hAnsi="Book Antiqua"/>
          <w:sz w:val="28"/>
          <w:szCs w:val="28"/>
        </w:rPr>
        <w:t xml:space="preserve">. En todos se cita el domicilio habitual de vendedores, prestadores o consumidores como el que regirá la relación jurídica. Este concepto viene definido en el artículo </w:t>
      </w:r>
      <w:r w:rsidRPr="006E61DB">
        <w:rPr>
          <w:rFonts w:ascii="Book Antiqua" w:hAnsi="Book Antiqua"/>
          <w:sz w:val="28"/>
          <w:szCs w:val="28"/>
        </w:rPr>
        <w:lastRenderedPageBreak/>
        <w:t xml:space="preserve">19 del Reglamento al establecer que, en el caso de personas jurídicas, la residencia habitual será </w:t>
      </w:r>
      <w:r w:rsidRPr="006E61DB">
        <w:rPr>
          <w:rFonts w:ascii="Book Antiqua" w:hAnsi="Book Antiqua"/>
          <w:i/>
          <w:sz w:val="28"/>
          <w:szCs w:val="28"/>
        </w:rPr>
        <w:t>el lugar de su administración central</w:t>
      </w:r>
      <w:r w:rsidRPr="006E61DB">
        <w:rPr>
          <w:rFonts w:ascii="Book Antiqua" w:hAnsi="Book Antiqua"/>
          <w:sz w:val="28"/>
          <w:szCs w:val="28"/>
        </w:rPr>
        <w:t>. En el caso de personas físicas que ejerzan su actividad profesional será el lugar del establecimiento principal de dicha persona</w:t>
      </w:r>
      <w:r w:rsidRPr="006E61DB">
        <w:rPr>
          <w:rStyle w:val="Refdenotaalpie"/>
          <w:rFonts w:ascii="Book Antiqua" w:hAnsi="Book Antiqua"/>
          <w:sz w:val="28"/>
          <w:szCs w:val="28"/>
        </w:rPr>
        <w:footnoteReference w:id="35"/>
      </w:r>
      <w:r w:rsidRPr="006E61DB">
        <w:rPr>
          <w:rFonts w:ascii="Book Antiqua" w:hAnsi="Book Antiqua"/>
          <w:sz w:val="28"/>
          <w:szCs w:val="28"/>
        </w:rPr>
        <w:t>. Lo que no define el Reglamento es lo que se debe de entender por residencia habitual en el caso de personas físicas que no actúen como profesionales. A este respecto</w:t>
      </w:r>
      <w:r>
        <w:rPr>
          <w:rFonts w:ascii="Book Antiqua" w:hAnsi="Book Antiqua"/>
          <w:sz w:val="28"/>
          <w:szCs w:val="28"/>
        </w:rPr>
        <w:t>,</w:t>
      </w:r>
      <w:r w:rsidRPr="006E61DB">
        <w:rPr>
          <w:rFonts w:ascii="Book Antiqua" w:hAnsi="Book Antiqua"/>
          <w:sz w:val="28"/>
          <w:szCs w:val="28"/>
        </w:rPr>
        <w:t xml:space="preserve"> otros Reglamentos comunitarios sí han definido lo que es residencia habitual, aunque referido a los extremos que interesaban a las materias contenidas en ellos. El </w:t>
      </w:r>
      <w:r w:rsidRPr="006E61DB">
        <w:rPr>
          <w:rFonts w:ascii="Book Antiqua" w:hAnsi="Book Antiqua"/>
          <w:color w:val="000000"/>
          <w:sz w:val="28"/>
          <w:szCs w:val="28"/>
        </w:rPr>
        <w:t xml:space="preserve">Reglamento (UE) 2019/1700 del Parlamento Europeo y del Consejo de 10 de octubre de 2019 </w:t>
      </w:r>
      <w:r>
        <w:rPr>
          <w:rFonts w:ascii="Book Antiqua" w:hAnsi="Book Antiqua"/>
          <w:color w:val="000000"/>
          <w:sz w:val="28"/>
          <w:szCs w:val="28"/>
        </w:rPr>
        <w:t>“</w:t>
      </w:r>
      <w:r w:rsidRPr="00623E76">
        <w:rPr>
          <w:rFonts w:ascii="Book Antiqua" w:hAnsi="Book Antiqua"/>
          <w:color w:val="000000"/>
          <w:sz w:val="28"/>
          <w:szCs w:val="28"/>
        </w:rPr>
        <w:t>por el que se establece un marco común para las estadísticas</w:t>
      </w:r>
      <w:r>
        <w:rPr>
          <w:rFonts w:ascii="Book Antiqua" w:hAnsi="Book Antiqua"/>
          <w:i/>
          <w:color w:val="000000"/>
          <w:sz w:val="28"/>
          <w:szCs w:val="28"/>
        </w:rPr>
        <w:t>”</w:t>
      </w:r>
      <w:r w:rsidRPr="006E61DB">
        <w:rPr>
          <w:rFonts w:ascii="Book Antiqua" w:hAnsi="Book Antiqua"/>
          <w:color w:val="000000"/>
          <w:sz w:val="28"/>
          <w:szCs w:val="28"/>
        </w:rPr>
        <w:t xml:space="preserve">, en su artículo 2, apartado 11 define la residencia habitual como aquel lugar </w:t>
      </w:r>
      <w:r>
        <w:rPr>
          <w:rFonts w:ascii="Book Antiqua" w:hAnsi="Book Antiqua"/>
          <w:color w:val="000000"/>
          <w:sz w:val="28"/>
          <w:szCs w:val="28"/>
        </w:rPr>
        <w:t>“</w:t>
      </w:r>
      <w:r w:rsidRPr="00623E76">
        <w:rPr>
          <w:rFonts w:ascii="Book Antiqua" w:hAnsi="Book Antiqua"/>
          <w:color w:val="000000"/>
          <w:sz w:val="28"/>
          <w:szCs w:val="28"/>
        </w:rPr>
        <w:t>donde una persona pasa el tiempo diario de descanso</w:t>
      </w:r>
      <w:r>
        <w:rPr>
          <w:rFonts w:ascii="Book Antiqua" w:hAnsi="Book Antiqua"/>
          <w:i/>
          <w:color w:val="000000"/>
          <w:sz w:val="28"/>
          <w:szCs w:val="28"/>
        </w:rPr>
        <w:t>”</w:t>
      </w:r>
      <w:r w:rsidRPr="006E61DB">
        <w:rPr>
          <w:rStyle w:val="Refdenotaalpie"/>
          <w:rFonts w:ascii="Book Antiqua" w:hAnsi="Book Antiqua"/>
          <w:color w:val="000000"/>
          <w:sz w:val="28"/>
          <w:szCs w:val="28"/>
        </w:rPr>
        <w:footnoteReference w:id="36"/>
      </w:r>
      <w:r w:rsidRPr="006E61DB">
        <w:rPr>
          <w:rFonts w:ascii="Book Antiqua" w:hAnsi="Book Antiqua"/>
          <w:color w:val="000000"/>
          <w:sz w:val="28"/>
          <w:szCs w:val="28"/>
        </w:rPr>
        <w:t xml:space="preserve">, independientemente de lo que hoy podríamos llamar </w:t>
      </w:r>
      <w:r w:rsidRPr="006E61DB">
        <w:rPr>
          <w:rFonts w:ascii="Book Antiqua" w:hAnsi="Book Antiqua"/>
          <w:color w:val="000000"/>
          <w:sz w:val="28"/>
          <w:szCs w:val="28"/>
        </w:rPr>
        <w:lastRenderedPageBreak/>
        <w:t xml:space="preserve">períodos de vacaciones, viajes de negocios o salidas ocasionales. Es decir, nos remonta a la constitución de Diocleciano y Maximiano antes citada, en la que se decía que domicilio era el lugar </w:t>
      </w:r>
      <w:r w:rsidRPr="006E61DB">
        <w:rPr>
          <w:rFonts w:ascii="Book Antiqua" w:hAnsi="Book Antiqua"/>
          <w:i/>
          <w:color w:val="000000"/>
          <w:sz w:val="28"/>
          <w:szCs w:val="28"/>
        </w:rPr>
        <w:t xml:space="preserve">donde uno constituyó sus lares, bienes y fortuna y que cuando </w:t>
      </w:r>
      <w:r w:rsidRPr="006E61DB">
        <w:rPr>
          <w:rFonts w:ascii="Book Antiqua" w:hAnsi="Book Antiqua"/>
          <w:i/>
          <w:sz w:val="28"/>
          <w:szCs w:val="28"/>
        </w:rPr>
        <w:t xml:space="preserve">partió se considera que está de </w:t>
      </w:r>
      <w:proofErr w:type="gramStart"/>
      <w:r w:rsidRPr="006E61DB">
        <w:rPr>
          <w:rFonts w:ascii="Book Antiqua" w:hAnsi="Book Antiqua"/>
          <w:i/>
          <w:sz w:val="28"/>
          <w:szCs w:val="28"/>
        </w:rPr>
        <w:t>viaje,...</w:t>
      </w:r>
      <w:proofErr w:type="gramEnd"/>
      <w:r w:rsidRPr="006E61DB">
        <w:rPr>
          <w:rFonts w:ascii="Book Antiqua" w:hAnsi="Book Antiqua"/>
          <w:i/>
          <w:sz w:val="28"/>
          <w:szCs w:val="28"/>
        </w:rPr>
        <w:t xml:space="preserve"> </w:t>
      </w:r>
      <w:r w:rsidRPr="006E61DB">
        <w:rPr>
          <w:rFonts w:ascii="Book Antiqua" w:hAnsi="Book Antiqua"/>
          <w:sz w:val="28"/>
          <w:szCs w:val="28"/>
        </w:rPr>
        <w:t>La diferencia esencial, además de citar el Reglamento más supuestos de aus</w:t>
      </w:r>
      <w:r>
        <w:rPr>
          <w:rFonts w:ascii="Book Antiqua" w:hAnsi="Book Antiqua"/>
          <w:sz w:val="28"/>
          <w:szCs w:val="28"/>
        </w:rPr>
        <w:t>encia de la residencia habitual</w:t>
      </w:r>
      <w:r w:rsidRPr="006E61DB">
        <w:rPr>
          <w:rFonts w:ascii="Book Antiqua" w:hAnsi="Book Antiqua"/>
          <w:sz w:val="28"/>
          <w:szCs w:val="28"/>
        </w:rPr>
        <w:t xml:space="preserve"> sin que deje de serlo, está en el mínimo temporal que establece para que se pueda entender residencia habitual, aunque sea, como dijimos, a efectos estadísticos. Este plazo mínimo se fija en doce meses de residencias en el citado lugar, estableciendo, como supuesto último, en caso de no poder acreditar estos hechos, la referencia a registros públicos. En otro Reglamento, como es el Reglamento de Sucesiones (UE) </w:t>
      </w:r>
      <w:proofErr w:type="spellStart"/>
      <w:r w:rsidRPr="006E61DB">
        <w:rPr>
          <w:rFonts w:ascii="Book Antiqua" w:hAnsi="Book Antiqua"/>
          <w:sz w:val="28"/>
          <w:szCs w:val="28"/>
        </w:rPr>
        <w:t>n°</w:t>
      </w:r>
      <w:proofErr w:type="spellEnd"/>
      <w:r w:rsidRPr="006E61DB">
        <w:rPr>
          <w:rFonts w:ascii="Book Antiqua" w:hAnsi="Book Antiqua"/>
          <w:sz w:val="28"/>
          <w:szCs w:val="28"/>
        </w:rPr>
        <w:t xml:space="preserve"> 650/2012 del Parlamento Europeo y del Consejo, de 4 de julio de </w:t>
      </w:r>
      <w:r w:rsidRPr="006E61DB">
        <w:rPr>
          <w:rFonts w:ascii="Book Antiqua" w:hAnsi="Book Antiqua"/>
          <w:sz w:val="28"/>
          <w:szCs w:val="28"/>
        </w:rPr>
        <w:lastRenderedPageBreak/>
        <w:t xml:space="preserve">2012 que señala en su Considerando 23 que </w:t>
      </w:r>
      <w:r w:rsidRPr="006E61DB">
        <w:rPr>
          <w:rFonts w:ascii="Book Antiqua" w:hAnsi="Book Antiqua"/>
          <w:i/>
          <w:sz w:val="28"/>
          <w:szCs w:val="28"/>
        </w:rPr>
        <w:t>el presente Reglamento debe establecer como nexo general, a efectos de la determinación tanto de la competencia como de la ley aplicable, la residencia habitual del causante en el momento del fallecimiento</w:t>
      </w:r>
      <w:r w:rsidRPr="006E61DB">
        <w:rPr>
          <w:rStyle w:val="Refdenotaalpie"/>
          <w:rFonts w:ascii="Book Antiqua" w:hAnsi="Book Antiqua"/>
          <w:i/>
          <w:sz w:val="28"/>
          <w:szCs w:val="28"/>
        </w:rPr>
        <w:footnoteReference w:id="37"/>
      </w:r>
      <w:r w:rsidRPr="006E61DB">
        <w:rPr>
          <w:rFonts w:ascii="Book Antiqua" w:hAnsi="Book Antiqua"/>
          <w:i/>
          <w:sz w:val="28"/>
          <w:szCs w:val="28"/>
        </w:rPr>
        <w:t xml:space="preserve">, </w:t>
      </w:r>
      <w:r w:rsidRPr="006E61DB">
        <w:rPr>
          <w:rFonts w:ascii="Book Antiqua" w:hAnsi="Book Antiqua"/>
          <w:sz w:val="28"/>
          <w:szCs w:val="28"/>
        </w:rPr>
        <w:t xml:space="preserve">pero, acto seguido, señala que el juzgador habrá de realizar una evaluación de general de las circunstancias del causante y, en definitiva, al igual que en Reglamento antes citado, comprobar el arraigo del causante con la del país cuya norma se desea aplicar. De nuevo muestra el concepto residencia habitual sus resquicios que pueden llevar a la subjetividad o error del juzgador. A pesar de ello el texto del citado </w:t>
      </w:r>
      <w:r>
        <w:rPr>
          <w:rFonts w:ascii="Book Antiqua" w:hAnsi="Book Antiqua"/>
          <w:sz w:val="28"/>
          <w:szCs w:val="28"/>
        </w:rPr>
        <w:t xml:space="preserve">Reglamento </w:t>
      </w:r>
      <w:r w:rsidRPr="006E61DB">
        <w:rPr>
          <w:rFonts w:ascii="Book Antiqua" w:hAnsi="Book Antiqua"/>
          <w:sz w:val="28"/>
          <w:szCs w:val="28"/>
        </w:rPr>
        <w:t xml:space="preserve">es rotundo, como se desprende del artículo 21, al establecer de forma expresa el principio general en la materia, prescribiendo que, </w:t>
      </w:r>
      <w:r w:rsidRPr="006E61DB">
        <w:rPr>
          <w:rFonts w:ascii="Book Antiqua" w:hAnsi="Book Antiqua"/>
          <w:i/>
          <w:sz w:val="28"/>
          <w:szCs w:val="28"/>
        </w:rPr>
        <w:t xml:space="preserve">salvo </w:t>
      </w:r>
      <w:r w:rsidRPr="006E61DB">
        <w:rPr>
          <w:rFonts w:ascii="Book Antiqua" w:hAnsi="Book Antiqua"/>
          <w:i/>
          <w:sz w:val="28"/>
          <w:szCs w:val="28"/>
        </w:rPr>
        <w:lastRenderedPageBreak/>
        <w:t xml:space="preserve">disposición en contrario, la ley que habrá de aplicarse a la sucesión es la correspondiente a la residencia habitual del causante en el momento del fallecimiento. </w:t>
      </w:r>
      <w:r w:rsidRPr="006E61DB">
        <w:rPr>
          <w:rFonts w:ascii="Book Antiqua" w:hAnsi="Book Antiqua"/>
          <w:sz w:val="28"/>
          <w:szCs w:val="28"/>
        </w:rPr>
        <w:t>Al final, el propio legislador no puede evitar volver a citar el concepto “domicilio” junto al de residencia habitual cuando reconoce la dificultad de concretar lo que supone la residencia habitual de una persona</w:t>
      </w:r>
      <w:r w:rsidRPr="006E61DB">
        <w:rPr>
          <w:rStyle w:val="Refdenotaalpie"/>
          <w:rFonts w:ascii="Book Antiqua" w:hAnsi="Book Antiqua"/>
          <w:sz w:val="28"/>
          <w:szCs w:val="28"/>
        </w:rPr>
        <w:footnoteReference w:id="38"/>
      </w:r>
      <w:r w:rsidRPr="006E61DB">
        <w:rPr>
          <w:rFonts w:ascii="Book Antiqua" w:hAnsi="Book Antiqua"/>
          <w:sz w:val="28"/>
          <w:szCs w:val="28"/>
        </w:rPr>
        <w:t xml:space="preserve">. De hecho, es el domicilio el principio general en materia de competencia jurisdiccional marcado por los legisladores comunitarios, como se recoge en el Reglamento Bruselas I-bis con </w:t>
      </w:r>
      <w:proofErr w:type="gramStart"/>
      <w:r w:rsidRPr="006E61DB">
        <w:rPr>
          <w:rFonts w:ascii="Book Antiqua" w:hAnsi="Book Antiqua"/>
          <w:sz w:val="28"/>
          <w:szCs w:val="28"/>
        </w:rPr>
        <w:t>carácter  especial</w:t>
      </w:r>
      <w:proofErr w:type="gramEnd"/>
      <w:r w:rsidRPr="006E61DB">
        <w:rPr>
          <w:rFonts w:ascii="Book Antiqua" w:hAnsi="Book Antiqua"/>
          <w:sz w:val="28"/>
          <w:szCs w:val="28"/>
        </w:rPr>
        <w:t xml:space="preserve"> para los contratos de seguros, contratos celebrados por los consumidores o contratos individuales de </w:t>
      </w:r>
      <w:r w:rsidRPr="006E61DB">
        <w:rPr>
          <w:rFonts w:ascii="Book Antiqua" w:hAnsi="Book Antiqua"/>
          <w:sz w:val="28"/>
          <w:szCs w:val="28"/>
        </w:rPr>
        <w:lastRenderedPageBreak/>
        <w:t>trabajo</w:t>
      </w:r>
      <w:r w:rsidRPr="006E61DB">
        <w:rPr>
          <w:rStyle w:val="Refdenotaalpie"/>
          <w:rFonts w:ascii="Book Antiqua" w:hAnsi="Book Antiqua"/>
          <w:sz w:val="28"/>
          <w:szCs w:val="28"/>
        </w:rPr>
        <w:footnoteReference w:id="39"/>
      </w:r>
      <w:r w:rsidRPr="006E61DB">
        <w:rPr>
          <w:rFonts w:ascii="Book Antiqua" w:hAnsi="Book Antiqua"/>
          <w:sz w:val="28"/>
          <w:szCs w:val="28"/>
        </w:rPr>
        <w:t>. En todos ellos se aprecia una protección especial de la parte más débil jurídicamente y se establece que asegurad</w:t>
      </w:r>
      <w:r>
        <w:rPr>
          <w:rFonts w:ascii="Book Antiqua" w:hAnsi="Book Antiqua"/>
          <w:sz w:val="28"/>
          <w:szCs w:val="28"/>
        </w:rPr>
        <w:t xml:space="preserve">os, consumidores o trabajadores </w:t>
      </w:r>
      <w:r w:rsidRPr="006E61DB">
        <w:rPr>
          <w:rFonts w:ascii="Book Antiqua" w:hAnsi="Book Antiqua"/>
          <w:sz w:val="28"/>
          <w:szCs w:val="28"/>
        </w:rPr>
        <w:t xml:space="preserve">podrán demandar ante los magistrados de su domicilio, con independencia de donde se produjo el siniestro, se adquirió el producto o tiene su domicilio la empresa.  Incluso, a la inversa, el asegurado, trabajador o consumidor debe ser demandado en el fuero de su domicilio. Un ejemplo nítido se recoge en el artículo 18.2 del Reglamento Bruselas I-bis, cuando afirma: </w:t>
      </w:r>
      <w:r w:rsidRPr="006E61DB">
        <w:rPr>
          <w:rFonts w:ascii="Book Antiqua" w:hAnsi="Book Antiqua"/>
          <w:i/>
          <w:sz w:val="28"/>
          <w:szCs w:val="28"/>
        </w:rPr>
        <w:t xml:space="preserve">La acción entablada contra el consumidor por la otra parte contratante sólo podrá interponerse ante los órganos jurisdiccionales del Estado miembro en que esté domiciliado </w:t>
      </w:r>
      <w:r w:rsidRPr="006E61DB">
        <w:rPr>
          <w:rFonts w:ascii="Book Antiqua" w:hAnsi="Book Antiqua"/>
          <w:i/>
          <w:sz w:val="28"/>
          <w:szCs w:val="28"/>
        </w:rPr>
        <w:lastRenderedPageBreak/>
        <w:t>el consumidor</w:t>
      </w:r>
      <w:r w:rsidRPr="006E61DB">
        <w:rPr>
          <w:rStyle w:val="Refdenotaalpie"/>
          <w:rFonts w:ascii="Book Antiqua" w:hAnsi="Book Antiqua"/>
          <w:i/>
          <w:sz w:val="28"/>
          <w:szCs w:val="28"/>
        </w:rPr>
        <w:footnoteReference w:id="40"/>
      </w:r>
      <w:r w:rsidRPr="006E61DB">
        <w:rPr>
          <w:rFonts w:ascii="Book Antiqua" w:hAnsi="Book Antiqua"/>
          <w:i/>
          <w:sz w:val="28"/>
          <w:szCs w:val="28"/>
        </w:rPr>
        <w:t>.</w:t>
      </w:r>
      <w:r w:rsidRPr="006E61DB">
        <w:rPr>
          <w:rFonts w:ascii="Book Antiqua" w:hAnsi="Book Antiqua"/>
          <w:sz w:val="28"/>
          <w:szCs w:val="28"/>
        </w:rPr>
        <w:t xml:space="preserve"> Como se aprecia, son muchas las materias en las que se sustituye domicilio por residencia habitual, por </w:t>
      </w:r>
      <w:proofErr w:type="gramStart"/>
      <w:r w:rsidRPr="006E61DB">
        <w:rPr>
          <w:rFonts w:ascii="Book Antiqua" w:hAnsi="Book Antiqua"/>
          <w:sz w:val="28"/>
          <w:szCs w:val="28"/>
        </w:rPr>
        <w:t>ejemplo</w:t>
      </w:r>
      <w:proofErr w:type="gramEnd"/>
      <w:r w:rsidRPr="006E61DB">
        <w:rPr>
          <w:rFonts w:ascii="Book Antiqua" w:hAnsi="Book Antiqua"/>
          <w:sz w:val="28"/>
          <w:szCs w:val="28"/>
        </w:rPr>
        <w:t xml:space="preserve"> en materia matrimonial, responsabilidad parental y domicilio de menores. El artículo 3 del Reglamento (CE) </w:t>
      </w:r>
      <w:proofErr w:type="spellStart"/>
      <w:r w:rsidRPr="006E61DB">
        <w:rPr>
          <w:rFonts w:ascii="Book Antiqua" w:hAnsi="Book Antiqua"/>
          <w:sz w:val="28"/>
          <w:szCs w:val="28"/>
        </w:rPr>
        <w:t>nº</w:t>
      </w:r>
      <w:proofErr w:type="spellEnd"/>
      <w:r w:rsidRPr="006E61DB">
        <w:rPr>
          <w:rFonts w:ascii="Book Antiqua" w:hAnsi="Book Antiqua"/>
          <w:sz w:val="28"/>
          <w:szCs w:val="28"/>
        </w:rPr>
        <w:t xml:space="preserve"> 2201/2003 del Consejo de 27 de noviembre de 2003, relativo a la competencia, el reconocimiento y la ejecución de resoluciones judiciales en materia matrimonial y de responsabilidad </w:t>
      </w:r>
      <w:proofErr w:type="gramStart"/>
      <w:r w:rsidRPr="006E61DB">
        <w:rPr>
          <w:rFonts w:ascii="Book Antiqua" w:hAnsi="Book Antiqua"/>
          <w:sz w:val="28"/>
          <w:szCs w:val="28"/>
        </w:rPr>
        <w:t>parental  hace</w:t>
      </w:r>
      <w:proofErr w:type="gramEnd"/>
      <w:r w:rsidRPr="006E61DB">
        <w:rPr>
          <w:rFonts w:ascii="Book Antiqua" w:hAnsi="Book Antiqua"/>
          <w:sz w:val="28"/>
          <w:szCs w:val="28"/>
        </w:rPr>
        <w:t xml:space="preserve"> referencia, casi de forma exclusiva</w:t>
      </w:r>
      <w:r>
        <w:rPr>
          <w:rFonts w:ascii="Book Antiqua" w:hAnsi="Book Antiqua"/>
          <w:sz w:val="28"/>
          <w:szCs w:val="28"/>
        </w:rPr>
        <w:t>, a la residencia habitual y</w:t>
      </w:r>
      <w:r w:rsidRPr="006E61DB">
        <w:rPr>
          <w:rFonts w:ascii="Book Antiqua" w:hAnsi="Book Antiqua"/>
          <w:sz w:val="28"/>
          <w:szCs w:val="28"/>
        </w:rPr>
        <w:t xml:space="preserve"> solo para Reino Unido e Irlanda al “</w:t>
      </w:r>
      <w:proofErr w:type="spellStart"/>
      <w:r w:rsidRPr="006E61DB">
        <w:rPr>
          <w:rFonts w:ascii="Book Antiqua" w:hAnsi="Book Antiqua"/>
          <w:sz w:val="28"/>
          <w:szCs w:val="28"/>
        </w:rPr>
        <w:t>domicile</w:t>
      </w:r>
      <w:proofErr w:type="spellEnd"/>
      <w:r w:rsidRPr="006E61DB">
        <w:rPr>
          <w:rFonts w:ascii="Book Antiqua" w:hAnsi="Book Antiqua"/>
          <w:sz w:val="28"/>
          <w:szCs w:val="28"/>
        </w:rPr>
        <w:t>”</w:t>
      </w:r>
      <w:r w:rsidRPr="006E61DB">
        <w:rPr>
          <w:rStyle w:val="Refdenotaalpie"/>
          <w:rFonts w:ascii="Book Antiqua" w:hAnsi="Book Antiqua"/>
          <w:sz w:val="28"/>
          <w:szCs w:val="28"/>
        </w:rPr>
        <w:footnoteReference w:id="41"/>
      </w:r>
      <w:r w:rsidRPr="006E61DB">
        <w:rPr>
          <w:rFonts w:ascii="Book Antiqua" w:hAnsi="Book Antiqua"/>
          <w:sz w:val="28"/>
          <w:szCs w:val="28"/>
        </w:rPr>
        <w:t>. En este ámbito, lo que se d</w:t>
      </w:r>
      <w:r>
        <w:rPr>
          <w:rFonts w:ascii="Book Antiqua" w:hAnsi="Book Antiqua"/>
          <w:sz w:val="28"/>
          <w:szCs w:val="28"/>
        </w:rPr>
        <w:t xml:space="preserve">ebe entender por residencia </w:t>
      </w:r>
      <w:r w:rsidRPr="006E61DB">
        <w:rPr>
          <w:rFonts w:ascii="Book Antiqua" w:hAnsi="Book Antiqua"/>
          <w:sz w:val="28"/>
          <w:szCs w:val="28"/>
        </w:rPr>
        <w:t xml:space="preserve">del menor lo señala, entre otras, </w:t>
      </w:r>
      <w:proofErr w:type="gramStart"/>
      <w:r w:rsidRPr="006E61DB">
        <w:rPr>
          <w:rFonts w:ascii="Book Antiqua" w:hAnsi="Book Antiqua"/>
          <w:sz w:val="28"/>
          <w:szCs w:val="28"/>
        </w:rPr>
        <w:t xml:space="preserve">la </w:t>
      </w:r>
      <w:r w:rsidRPr="006E61DB">
        <w:rPr>
          <w:rFonts w:ascii="Book Antiqua" w:hAnsi="Book Antiqua"/>
          <w:color w:val="222222"/>
          <w:sz w:val="28"/>
          <w:szCs w:val="28"/>
          <w:shd w:val="clear" w:color="auto" w:fill="FFFFFF"/>
        </w:rPr>
        <w:t> </w:t>
      </w:r>
      <w:proofErr w:type="spellStart"/>
      <w:r w:rsidRPr="006E61DB">
        <w:rPr>
          <w:rFonts w:ascii="Book Antiqua" w:hAnsi="Book Antiqua"/>
          <w:color w:val="222222"/>
          <w:sz w:val="28"/>
          <w:szCs w:val="28"/>
          <w:shd w:val="clear" w:color="auto" w:fill="FFFFFF"/>
        </w:rPr>
        <w:t>STJUE</w:t>
      </w:r>
      <w:proofErr w:type="spellEnd"/>
      <w:proofErr w:type="gramEnd"/>
      <w:r w:rsidRPr="006E61DB">
        <w:rPr>
          <w:rFonts w:ascii="Book Antiqua" w:hAnsi="Book Antiqua"/>
          <w:color w:val="222222"/>
          <w:sz w:val="28"/>
          <w:szCs w:val="28"/>
          <w:shd w:val="clear" w:color="auto" w:fill="FFFFFF"/>
        </w:rPr>
        <w:t xml:space="preserve"> de 2 de abril de 2009, en el asunto C-523/07, A., al afirmar que la residencia habitual del menor </w:t>
      </w:r>
      <w:r w:rsidRPr="006E61DB">
        <w:rPr>
          <w:rFonts w:ascii="Book Antiqua" w:hAnsi="Book Antiqua"/>
          <w:color w:val="222222"/>
          <w:sz w:val="28"/>
          <w:szCs w:val="28"/>
          <w:shd w:val="clear" w:color="auto" w:fill="FFFFFF"/>
        </w:rPr>
        <w:lastRenderedPageBreak/>
        <w:t>“se corresponde con el lugar en el que el menor tenga una cierta integración en un entorno social y familiar”</w:t>
      </w:r>
      <w:r w:rsidRPr="006E61DB">
        <w:rPr>
          <w:rStyle w:val="Refdenotaalpie"/>
          <w:rFonts w:ascii="Book Antiqua" w:hAnsi="Book Antiqua"/>
          <w:color w:val="222222"/>
          <w:sz w:val="28"/>
          <w:szCs w:val="28"/>
          <w:shd w:val="clear" w:color="auto" w:fill="FFFFFF"/>
        </w:rPr>
        <w:footnoteReference w:id="42"/>
      </w:r>
      <w:r w:rsidRPr="006E61DB">
        <w:rPr>
          <w:rFonts w:ascii="Book Antiqua" w:hAnsi="Book Antiqua"/>
          <w:color w:val="222222"/>
          <w:sz w:val="28"/>
          <w:szCs w:val="28"/>
          <w:shd w:val="clear" w:color="auto" w:fill="FFFFFF"/>
        </w:rPr>
        <w:t>. En este caso se apela, como señala la ley</w:t>
      </w:r>
      <w:r>
        <w:rPr>
          <w:rFonts w:ascii="Book Antiqua" w:hAnsi="Book Antiqua"/>
          <w:color w:val="222222"/>
          <w:sz w:val="28"/>
          <w:szCs w:val="28"/>
          <w:shd w:val="clear" w:color="auto" w:fill="FFFFFF"/>
        </w:rPr>
        <w:t>,</w:t>
      </w:r>
      <w:r w:rsidRPr="006E61DB">
        <w:rPr>
          <w:rFonts w:ascii="Book Antiqua" w:hAnsi="Book Antiqua"/>
          <w:color w:val="222222"/>
          <w:sz w:val="28"/>
          <w:szCs w:val="28"/>
          <w:shd w:val="clear" w:color="auto" w:fill="FFFFFF"/>
        </w:rPr>
        <w:t xml:space="preserve"> a un criterio de “proximidad” que persiga el interés del menor. </w:t>
      </w:r>
    </w:p>
    <w:p w14:paraId="35719B9B"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III.3</w:t>
      </w:r>
      <w:r w:rsidRPr="006E61DB">
        <w:rPr>
          <w:rFonts w:ascii="Book Antiqua" w:hAnsi="Book Antiqua"/>
          <w:i/>
          <w:sz w:val="28"/>
          <w:szCs w:val="28"/>
        </w:rPr>
        <w:t xml:space="preserve">.-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i/>
          <w:sz w:val="28"/>
          <w:szCs w:val="28"/>
        </w:rPr>
        <w:t xml:space="preserve"> </w:t>
      </w:r>
      <w:r w:rsidRPr="006E61DB">
        <w:rPr>
          <w:rFonts w:ascii="Book Antiqua" w:hAnsi="Book Antiqua"/>
          <w:sz w:val="28"/>
          <w:szCs w:val="28"/>
        </w:rPr>
        <w:t>y responsabilidad aquiliana.</w:t>
      </w:r>
    </w:p>
    <w:p w14:paraId="626B6B63" w14:textId="77777777" w:rsidR="004A00AB" w:rsidRPr="006E61DB" w:rsidRDefault="004A00AB" w:rsidP="004A00AB">
      <w:pPr>
        <w:spacing w:after="100" w:afterAutospacing="1" w:line="360" w:lineRule="auto"/>
        <w:ind w:firstLine="708"/>
        <w:jc w:val="both"/>
        <w:rPr>
          <w:rFonts w:ascii="Book Antiqua" w:hAnsi="Book Antiqua"/>
          <w:sz w:val="28"/>
          <w:szCs w:val="28"/>
        </w:rPr>
      </w:pPr>
      <w:r w:rsidRPr="006E61DB">
        <w:rPr>
          <w:rFonts w:ascii="Book Antiqua" w:hAnsi="Book Antiqua"/>
          <w:sz w:val="28"/>
          <w:szCs w:val="28"/>
        </w:rPr>
        <w:t xml:space="preserve">El conocimiento de los procedimientos penales se atribuyó durante siglos a los magistrados del lugar en el que se produjeron los hechos delictivos. 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sz w:val="28"/>
          <w:szCs w:val="28"/>
        </w:rPr>
        <w:t xml:space="preserve"> no admitió dudas, aunque de la lectura de las constituciones imperiales se aprecia que hubo ciertas excepciones y matizaciones a la regla general especialmente debidos a la distinción entre </w:t>
      </w:r>
      <w:r w:rsidRPr="006E61DB">
        <w:rPr>
          <w:rFonts w:ascii="Book Antiqua" w:hAnsi="Book Antiqua"/>
          <w:i/>
          <w:sz w:val="28"/>
          <w:szCs w:val="28"/>
        </w:rPr>
        <w:t>crimina</w:t>
      </w:r>
      <w:r w:rsidRPr="006E61DB">
        <w:rPr>
          <w:rFonts w:ascii="Book Antiqua" w:hAnsi="Book Antiqua"/>
          <w:sz w:val="28"/>
          <w:szCs w:val="28"/>
        </w:rPr>
        <w:t xml:space="preserve"> y </w:t>
      </w:r>
      <w:proofErr w:type="spellStart"/>
      <w:r w:rsidRPr="006E61DB">
        <w:rPr>
          <w:rFonts w:ascii="Book Antiqua" w:hAnsi="Book Antiqua"/>
          <w:i/>
          <w:sz w:val="28"/>
          <w:szCs w:val="28"/>
        </w:rPr>
        <w:t>delicta</w:t>
      </w:r>
      <w:proofErr w:type="spellEnd"/>
      <w:r w:rsidRPr="006E61DB">
        <w:rPr>
          <w:rFonts w:ascii="Book Antiqua" w:hAnsi="Book Antiqua"/>
          <w:sz w:val="28"/>
          <w:szCs w:val="28"/>
        </w:rPr>
        <w:t>.  Como se expuso anteriormente en la Novela 69 Justiniano pretende dejar zanjado el tema de la jurisdicción en todo tipo de procesos ya que había constituciones que planteaban dudas. Una de ellas es la recogida en C.3.15.1</w:t>
      </w:r>
      <w:r w:rsidRPr="006E61DB">
        <w:rPr>
          <w:rStyle w:val="Refdenotaalpie"/>
          <w:rFonts w:ascii="Book Antiqua" w:hAnsi="Book Antiqua"/>
          <w:sz w:val="28"/>
          <w:szCs w:val="28"/>
        </w:rPr>
        <w:footnoteReference w:id="43"/>
      </w:r>
      <w:r w:rsidRPr="006E61DB">
        <w:rPr>
          <w:rFonts w:ascii="Book Antiqua" w:hAnsi="Book Antiqua"/>
          <w:sz w:val="28"/>
          <w:szCs w:val="28"/>
        </w:rPr>
        <w:t>,  en donde se permitía que los hechos fuesen</w:t>
      </w:r>
      <w:r>
        <w:rPr>
          <w:rFonts w:ascii="Book Antiqua" w:hAnsi="Book Antiqua"/>
          <w:sz w:val="28"/>
          <w:szCs w:val="28"/>
        </w:rPr>
        <w:t xml:space="preserve"> juzgados</w:t>
      </w:r>
      <w:r w:rsidRPr="006E61DB">
        <w:rPr>
          <w:rFonts w:ascii="Book Antiqua" w:hAnsi="Book Antiqua"/>
          <w:sz w:val="28"/>
          <w:szCs w:val="28"/>
        </w:rPr>
        <w:t xml:space="preserve"> tanto en el lugar en que comenzaron a cometerse </w:t>
      </w:r>
      <w:r>
        <w:rPr>
          <w:rFonts w:ascii="Book Antiqua" w:hAnsi="Book Antiqua"/>
          <w:sz w:val="28"/>
          <w:szCs w:val="28"/>
        </w:rPr>
        <w:t>los hechos</w:t>
      </w:r>
      <w:r w:rsidRPr="006E61DB">
        <w:rPr>
          <w:rFonts w:ascii="Book Antiqua" w:hAnsi="Book Antiqua"/>
          <w:sz w:val="28"/>
          <w:szCs w:val="28"/>
        </w:rPr>
        <w:t xml:space="preserve"> como donde se </w:t>
      </w:r>
      <w:r w:rsidRPr="006E61DB">
        <w:rPr>
          <w:rFonts w:ascii="Book Antiqua" w:hAnsi="Book Antiqua"/>
          <w:sz w:val="28"/>
          <w:szCs w:val="28"/>
        </w:rPr>
        <w:lastRenderedPageBreak/>
        <w:t>consumaron y, además, también se permitía que se juzgasen en el lugar en que fueren hallados los reos</w:t>
      </w:r>
      <w:r w:rsidRPr="006E61DB">
        <w:rPr>
          <w:rStyle w:val="Refdenotaalpie"/>
          <w:rFonts w:ascii="Book Antiqua" w:hAnsi="Book Antiqua"/>
          <w:sz w:val="28"/>
          <w:szCs w:val="28"/>
        </w:rPr>
        <w:footnoteReference w:id="44"/>
      </w:r>
      <w:r w:rsidRPr="006E61DB">
        <w:rPr>
          <w:rFonts w:ascii="Book Antiqua" w:hAnsi="Book Antiqua"/>
          <w:sz w:val="28"/>
          <w:szCs w:val="28"/>
        </w:rPr>
        <w:t xml:space="preserve">. Otra constitución que ha sembrado dudas es la recogida en C.3.13.5pr. en la que se lee </w:t>
      </w:r>
      <w:r w:rsidRPr="006E61DB">
        <w:rPr>
          <w:rFonts w:ascii="Book Antiqua" w:hAnsi="Book Antiqua"/>
          <w:i/>
          <w:sz w:val="28"/>
          <w:szCs w:val="28"/>
        </w:rPr>
        <w:t xml:space="preserve">In </w:t>
      </w:r>
      <w:proofErr w:type="spellStart"/>
      <w:r w:rsidRPr="006E61DB">
        <w:rPr>
          <w:rFonts w:ascii="Book Antiqua" w:hAnsi="Book Antiqua"/>
          <w:i/>
          <w:sz w:val="28"/>
          <w:szCs w:val="28"/>
        </w:rPr>
        <w:t>criminali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negotio</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rei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accusator</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sequatur</w:t>
      </w:r>
      <w:proofErr w:type="spellEnd"/>
      <w:r w:rsidRPr="006E61DB">
        <w:rPr>
          <w:rFonts w:ascii="Book Antiqua" w:hAnsi="Book Antiqua"/>
          <w:i/>
          <w:sz w:val="28"/>
          <w:szCs w:val="28"/>
        </w:rPr>
        <w:t>.</w:t>
      </w:r>
      <w:r w:rsidRPr="006E61DB">
        <w:rPr>
          <w:rFonts w:ascii="Book Antiqua" w:hAnsi="Book Antiqua"/>
          <w:sz w:val="28"/>
          <w:szCs w:val="28"/>
        </w:rPr>
        <w:t xml:space="preserve"> La primera cuestión que se plantea es qué se debe de entender por </w:t>
      </w:r>
      <w:proofErr w:type="spellStart"/>
      <w:r w:rsidRPr="006E61DB">
        <w:rPr>
          <w:rFonts w:ascii="Book Antiqua" w:hAnsi="Book Antiqua"/>
          <w:i/>
          <w:sz w:val="28"/>
          <w:szCs w:val="28"/>
        </w:rPr>
        <w:t>criminali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negotio</w:t>
      </w:r>
      <w:proofErr w:type="spellEnd"/>
      <w:r w:rsidRPr="006E61DB">
        <w:rPr>
          <w:rStyle w:val="Refdenotaalpie"/>
          <w:rFonts w:ascii="Book Antiqua" w:hAnsi="Book Antiqua"/>
          <w:i/>
          <w:sz w:val="28"/>
          <w:szCs w:val="28"/>
        </w:rPr>
        <w:footnoteReference w:id="45"/>
      </w:r>
      <w:r w:rsidRPr="006E61DB">
        <w:rPr>
          <w:rFonts w:ascii="Book Antiqua" w:hAnsi="Book Antiqua"/>
          <w:i/>
          <w:sz w:val="28"/>
          <w:szCs w:val="28"/>
        </w:rPr>
        <w:t>.</w:t>
      </w:r>
      <w:r w:rsidRPr="006E61DB">
        <w:rPr>
          <w:rFonts w:ascii="Book Antiqua" w:hAnsi="Book Antiqua"/>
          <w:sz w:val="28"/>
          <w:szCs w:val="28"/>
        </w:rPr>
        <w:t xml:space="preserve"> La segunda cuestión es que de dicho texto se podría deducir que en las causas criminales también sería de aplicación 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i/>
          <w:sz w:val="28"/>
          <w:szCs w:val="28"/>
        </w:rPr>
        <w:t xml:space="preserve">, </w:t>
      </w:r>
      <w:r w:rsidRPr="006E61DB">
        <w:rPr>
          <w:rFonts w:ascii="Book Antiqua" w:hAnsi="Book Antiqua"/>
          <w:sz w:val="28"/>
          <w:szCs w:val="28"/>
        </w:rPr>
        <w:t>especialmente cuando en el párrafo siguiente se distingue entre acciones civiles y criminales. La conciliación entre los preceptos es difícil, siendo una solución el pensar que hay</w:t>
      </w:r>
      <w:r w:rsidRPr="006E61DB">
        <w:rPr>
          <w:rFonts w:ascii="Book Antiqua" w:hAnsi="Book Antiqua"/>
          <w:i/>
          <w:sz w:val="28"/>
          <w:szCs w:val="28"/>
        </w:rPr>
        <w:t xml:space="preserve"> crimina</w:t>
      </w:r>
      <w:r w:rsidRPr="006E61DB">
        <w:rPr>
          <w:rFonts w:ascii="Book Antiqua" w:hAnsi="Book Antiqua"/>
          <w:sz w:val="28"/>
          <w:szCs w:val="28"/>
        </w:rPr>
        <w:t xml:space="preserve"> como el acaparamiento de cereales y otros productos de primera necesidad o el atentar contra la prohibición de fabricar ladrillos y otros productos en la ciudad, que podían ser incluidos </w:t>
      </w:r>
      <w:r>
        <w:rPr>
          <w:rFonts w:ascii="Book Antiqua" w:hAnsi="Book Antiqua"/>
          <w:sz w:val="28"/>
          <w:szCs w:val="28"/>
        </w:rPr>
        <w:t>en dicha norma. Otros supuestos</w:t>
      </w:r>
      <w:r w:rsidRPr="006E61DB">
        <w:rPr>
          <w:rFonts w:ascii="Book Antiqua" w:hAnsi="Book Antiqua"/>
          <w:sz w:val="28"/>
          <w:szCs w:val="28"/>
        </w:rPr>
        <w:t xml:space="preserve"> podrían ser los hechos que se cometen de una forma continuada en el tiempo, como </w:t>
      </w:r>
      <w:proofErr w:type="spellStart"/>
      <w:r w:rsidRPr="006E61DB">
        <w:rPr>
          <w:rFonts w:ascii="Book Antiqua" w:hAnsi="Book Antiqua"/>
          <w:i/>
          <w:sz w:val="28"/>
          <w:szCs w:val="28"/>
        </w:rPr>
        <w:t>servi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corrupti</w:t>
      </w:r>
      <w:proofErr w:type="spellEnd"/>
      <w:r w:rsidRPr="006E61DB">
        <w:rPr>
          <w:rFonts w:ascii="Book Antiqua" w:hAnsi="Book Antiqua"/>
          <w:sz w:val="28"/>
          <w:szCs w:val="28"/>
        </w:rPr>
        <w:t>, exacciones de publicanos o dolo, que aconsejarían que el demandante ofendido ejercitase la acción y reclamase la indemnización en el domicilio del demandado y no</w:t>
      </w:r>
      <w:r>
        <w:rPr>
          <w:rFonts w:ascii="Book Antiqua" w:hAnsi="Book Antiqua"/>
          <w:sz w:val="28"/>
          <w:szCs w:val="28"/>
        </w:rPr>
        <w:t xml:space="preserve"> </w:t>
      </w:r>
      <w:r w:rsidRPr="006E61DB">
        <w:rPr>
          <w:rFonts w:ascii="Book Antiqua" w:hAnsi="Book Antiqua"/>
          <w:sz w:val="28"/>
          <w:szCs w:val="28"/>
        </w:rPr>
        <w:t>necesariamente en el lugar donde se produjeron los hechos. En apoyo</w:t>
      </w:r>
      <w:r>
        <w:rPr>
          <w:rFonts w:ascii="Book Antiqua" w:hAnsi="Book Antiqua"/>
          <w:sz w:val="28"/>
          <w:szCs w:val="28"/>
        </w:rPr>
        <w:t xml:space="preserve"> de esta tesis se podría citar </w:t>
      </w:r>
      <w:r w:rsidRPr="006E61DB">
        <w:rPr>
          <w:rFonts w:ascii="Book Antiqua" w:hAnsi="Book Antiqua"/>
          <w:sz w:val="28"/>
          <w:szCs w:val="28"/>
        </w:rPr>
        <w:t xml:space="preserve">C.3.15.2, a propósito del </w:t>
      </w:r>
      <w:r w:rsidRPr="006E61DB">
        <w:rPr>
          <w:rFonts w:ascii="Book Antiqua" w:hAnsi="Book Antiqua"/>
          <w:i/>
          <w:sz w:val="28"/>
          <w:szCs w:val="28"/>
        </w:rPr>
        <w:t xml:space="preserve">crimen </w:t>
      </w:r>
      <w:proofErr w:type="spellStart"/>
      <w:r w:rsidRPr="006E61DB">
        <w:rPr>
          <w:rFonts w:ascii="Book Antiqua" w:hAnsi="Book Antiqua"/>
          <w:i/>
          <w:sz w:val="28"/>
          <w:szCs w:val="28"/>
        </w:rPr>
        <w:t>plagii</w:t>
      </w:r>
      <w:proofErr w:type="spellEnd"/>
      <w:r w:rsidRPr="006E61DB">
        <w:rPr>
          <w:rFonts w:ascii="Book Antiqua" w:hAnsi="Book Antiqua"/>
          <w:sz w:val="28"/>
          <w:szCs w:val="28"/>
        </w:rPr>
        <w:t xml:space="preserve">, donde </w:t>
      </w:r>
      <w:proofErr w:type="gramStart"/>
      <w:r w:rsidRPr="006E61DB">
        <w:rPr>
          <w:rFonts w:ascii="Book Antiqua" w:hAnsi="Book Antiqua"/>
          <w:sz w:val="28"/>
          <w:szCs w:val="28"/>
        </w:rPr>
        <w:t>se  establece</w:t>
      </w:r>
      <w:proofErr w:type="gramEnd"/>
      <w:r w:rsidRPr="006E61DB">
        <w:rPr>
          <w:rFonts w:ascii="Book Antiqua" w:hAnsi="Book Antiqua"/>
          <w:sz w:val="28"/>
          <w:szCs w:val="28"/>
        </w:rPr>
        <w:t xml:space="preserve"> que se podrá ejercitar la acción ante el juez competente, </w:t>
      </w:r>
      <w:r w:rsidRPr="006E61DB">
        <w:rPr>
          <w:rFonts w:ascii="Book Antiqua" w:hAnsi="Book Antiqua"/>
          <w:i/>
          <w:sz w:val="28"/>
          <w:szCs w:val="28"/>
        </w:rPr>
        <w:t xml:space="preserve">si vive allí el que se dice que vendió a un niño ingenuo, </w:t>
      </w:r>
      <w:r w:rsidRPr="006E61DB">
        <w:rPr>
          <w:rFonts w:ascii="Book Antiqua" w:hAnsi="Book Antiqua"/>
          <w:sz w:val="28"/>
          <w:szCs w:val="28"/>
        </w:rPr>
        <w:lastRenderedPageBreak/>
        <w:t xml:space="preserve">es decir, si tiene allí su domicilio. </w:t>
      </w:r>
      <w:r w:rsidRPr="004B2C54">
        <w:rPr>
          <w:rFonts w:ascii="Book Antiqua" w:hAnsi="Book Antiqua"/>
          <w:sz w:val="28"/>
          <w:szCs w:val="28"/>
        </w:rPr>
        <w:t xml:space="preserve">Pero </w:t>
      </w:r>
      <w:r w:rsidRPr="006E61DB">
        <w:rPr>
          <w:rFonts w:ascii="Book Antiqua" w:hAnsi="Book Antiqua"/>
          <w:sz w:val="28"/>
          <w:szCs w:val="28"/>
        </w:rPr>
        <w:t xml:space="preserve">este no era el caso de </w:t>
      </w:r>
      <w:r>
        <w:rPr>
          <w:rFonts w:ascii="Book Antiqua" w:hAnsi="Book Antiqua"/>
          <w:sz w:val="28"/>
          <w:szCs w:val="28"/>
        </w:rPr>
        <w:t>la generalidad de las acciones y leyes penales</w:t>
      </w:r>
      <w:r w:rsidRPr="006E61DB">
        <w:rPr>
          <w:rFonts w:ascii="Book Antiqua" w:hAnsi="Book Antiqua"/>
          <w:sz w:val="28"/>
          <w:szCs w:val="28"/>
        </w:rPr>
        <w:t xml:space="preserve">, como la ley </w:t>
      </w:r>
      <w:proofErr w:type="spellStart"/>
      <w:r w:rsidRPr="006E61DB">
        <w:rPr>
          <w:rFonts w:ascii="Book Antiqua" w:hAnsi="Book Antiqua"/>
          <w:sz w:val="28"/>
          <w:szCs w:val="28"/>
        </w:rPr>
        <w:t>Aquilia</w:t>
      </w:r>
      <w:proofErr w:type="spellEnd"/>
      <w:r w:rsidRPr="006E61DB">
        <w:rPr>
          <w:rFonts w:ascii="Book Antiqua" w:hAnsi="Book Antiqua"/>
          <w:sz w:val="28"/>
          <w:szCs w:val="28"/>
        </w:rPr>
        <w:t xml:space="preserve">, con las acciones conexas que le acompañaban, ya </w:t>
      </w:r>
      <w:proofErr w:type="gramStart"/>
      <w:r w:rsidRPr="006E61DB">
        <w:rPr>
          <w:rFonts w:ascii="Book Antiqua" w:hAnsi="Book Antiqua"/>
          <w:sz w:val="28"/>
          <w:szCs w:val="28"/>
        </w:rPr>
        <w:t>que  se</w:t>
      </w:r>
      <w:proofErr w:type="gramEnd"/>
      <w:r w:rsidRPr="006E61DB">
        <w:rPr>
          <w:rFonts w:ascii="Book Antiqua" w:hAnsi="Book Antiqua"/>
          <w:sz w:val="28"/>
          <w:szCs w:val="28"/>
        </w:rPr>
        <w:t xml:space="preserve"> regían por las normas de competencia ordinarias y, por tanto, era el lugar en el que se producía el daño el que marcaba la competencia del juzgador</w:t>
      </w:r>
      <w:r w:rsidRPr="006E61DB">
        <w:rPr>
          <w:rStyle w:val="Refdenotaalpie"/>
          <w:rFonts w:ascii="Book Antiqua" w:hAnsi="Book Antiqua"/>
          <w:sz w:val="28"/>
          <w:szCs w:val="28"/>
        </w:rPr>
        <w:footnoteReference w:id="46"/>
      </w:r>
      <w:r w:rsidRPr="006E61DB">
        <w:rPr>
          <w:rFonts w:ascii="Book Antiqua" w:hAnsi="Book Antiqua"/>
          <w:sz w:val="28"/>
          <w:szCs w:val="28"/>
        </w:rPr>
        <w:t xml:space="preserve">.  De esta manera, y salvo supuestos dudosos, está consagrado desde la antigüedad el principio general que establece que, en el supuesto de que se cometiese un delito o cuasidelito, el órgano juzgador de los hechos debía ser el de lugar de la comisión de </w:t>
      </w:r>
      <w:proofErr w:type="gramStart"/>
      <w:r w:rsidRPr="006E61DB">
        <w:rPr>
          <w:rFonts w:ascii="Book Antiqua" w:hAnsi="Book Antiqua"/>
          <w:sz w:val="28"/>
          <w:szCs w:val="28"/>
        </w:rPr>
        <w:t>los mismos</w:t>
      </w:r>
      <w:proofErr w:type="gramEnd"/>
      <w:r w:rsidRPr="006E61DB">
        <w:rPr>
          <w:rFonts w:ascii="Book Antiqua" w:hAnsi="Book Antiqua"/>
          <w:sz w:val="28"/>
          <w:szCs w:val="28"/>
        </w:rPr>
        <w:t xml:space="preserve">. En el mismo sentido señala Justiniano que </w:t>
      </w:r>
      <w:r w:rsidRPr="006E61DB">
        <w:rPr>
          <w:rFonts w:ascii="Book Antiqua" w:hAnsi="Book Antiqua"/>
          <w:i/>
          <w:sz w:val="28"/>
          <w:szCs w:val="28"/>
        </w:rPr>
        <w:t xml:space="preserve">en la provincia en la uno delinquió o en la que sea reo de cantidades o </w:t>
      </w:r>
      <w:proofErr w:type="gramStart"/>
      <w:r w:rsidRPr="006E61DB">
        <w:rPr>
          <w:rFonts w:ascii="Book Antiqua" w:hAnsi="Book Antiqua"/>
          <w:i/>
          <w:sz w:val="28"/>
          <w:szCs w:val="28"/>
        </w:rPr>
        <w:t>crímenes,..</w:t>
      </w:r>
      <w:proofErr w:type="gramEnd"/>
      <w:r w:rsidRPr="006E61DB">
        <w:rPr>
          <w:rFonts w:ascii="Book Antiqua" w:hAnsi="Book Antiqua"/>
          <w:i/>
          <w:sz w:val="28"/>
          <w:szCs w:val="28"/>
        </w:rPr>
        <w:t xml:space="preserve"> allí quede sujeto a la ley</w:t>
      </w:r>
      <w:r w:rsidRPr="006E61DB">
        <w:rPr>
          <w:rStyle w:val="Refdenotaalpie"/>
          <w:rFonts w:ascii="Book Antiqua" w:hAnsi="Book Antiqua"/>
          <w:sz w:val="28"/>
          <w:szCs w:val="28"/>
        </w:rPr>
        <w:footnoteReference w:id="47"/>
      </w:r>
      <w:r w:rsidRPr="006E61DB">
        <w:rPr>
          <w:rFonts w:ascii="Book Antiqua" w:hAnsi="Book Antiqua"/>
          <w:i/>
          <w:sz w:val="28"/>
          <w:szCs w:val="28"/>
        </w:rPr>
        <w:t>.</w:t>
      </w:r>
      <w:r w:rsidRPr="006E61DB">
        <w:rPr>
          <w:rFonts w:ascii="Book Antiqua" w:hAnsi="Book Antiqua"/>
          <w:sz w:val="28"/>
          <w:szCs w:val="28"/>
        </w:rPr>
        <w:t xml:space="preserve"> Bien es cierto que este precepto es de una época tardía que remite el enjuiciamiento de los pleitos a los presidentes de las provincias, en un intento de descentralizar la administración de justicia del imperio, pero reproduce el principio repetido una y otra vez en la jurisprudencia y las constituciones imperiales que ha llegado a la actualidad remitiendo la jurisdicción al lugar de comisión de los hechos. </w:t>
      </w:r>
    </w:p>
    <w:p w14:paraId="4E03AC40"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 xml:space="preserve">III.4.- Fueros de aplicación en materia de acciones penales.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sz w:val="28"/>
          <w:szCs w:val="28"/>
        </w:rPr>
        <w:t xml:space="preserve"> </w:t>
      </w:r>
      <w:proofErr w:type="gramStart"/>
      <w:r w:rsidRPr="006E61DB">
        <w:rPr>
          <w:rFonts w:ascii="Book Antiqua" w:hAnsi="Book Antiqua"/>
          <w:sz w:val="28"/>
          <w:szCs w:val="28"/>
        </w:rPr>
        <w:t xml:space="preserve">y  </w:t>
      </w:r>
      <w:r w:rsidRPr="006E61DB">
        <w:rPr>
          <w:rFonts w:ascii="Book Antiqua" w:hAnsi="Book Antiqua"/>
          <w:i/>
          <w:sz w:val="28"/>
          <w:szCs w:val="28"/>
        </w:rPr>
        <w:t>lex</w:t>
      </w:r>
      <w:proofErr w:type="gramEnd"/>
      <w:r w:rsidRPr="006E61DB">
        <w:rPr>
          <w:rFonts w:ascii="Book Antiqua" w:hAnsi="Book Antiqua"/>
          <w:i/>
          <w:sz w:val="28"/>
          <w:szCs w:val="28"/>
        </w:rPr>
        <w:t xml:space="preserve"> loci </w:t>
      </w:r>
      <w:proofErr w:type="spellStart"/>
      <w:r w:rsidRPr="006E61DB">
        <w:rPr>
          <w:rFonts w:ascii="Book Antiqua" w:hAnsi="Book Antiqua"/>
          <w:i/>
          <w:sz w:val="28"/>
          <w:szCs w:val="28"/>
        </w:rPr>
        <w:t>damni</w:t>
      </w:r>
      <w:proofErr w:type="spellEnd"/>
      <w:r w:rsidRPr="006E61DB">
        <w:rPr>
          <w:rFonts w:ascii="Book Antiqua" w:hAnsi="Book Antiqua"/>
          <w:i/>
          <w:sz w:val="28"/>
          <w:szCs w:val="28"/>
        </w:rPr>
        <w:t xml:space="preserve"> </w:t>
      </w:r>
      <w:r w:rsidRPr="006E61DB">
        <w:rPr>
          <w:rFonts w:ascii="Book Antiqua" w:hAnsi="Book Antiqua"/>
          <w:sz w:val="28"/>
          <w:szCs w:val="28"/>
        </w:rPr>
        <w:t xml:space="preserve"> en</w:t>
      </w:r>
      <w:r w:rsidRPr="006E61DB">
        <w:rPr>
          <w:rFonts w:ascii="Book Antiqua" w:hAnsi="Book Antiqua"/>
          <w:i/>
          <w:sz w:val="28"/>
          <w:szCs w:val="28"/>
        </w:rPr>
        <w:t xml:space="preserve"> </w:t>
      </w:r>
      <w:r w:rsidRPr="006E61DB">
        <w:rPr>
          <w:rFonts w:ascii="Book Antiqua" w:hAnsi="Book Antiqua"/>
          <w:sz w:val="28"/>
          <w:szCs w:val="28"/>
        </w:rPr>
        <w:t xml:space="preserve">la UE. </w:t>
      </w:r>
    </w:p>
    <w:p w14:paraId="7DF3F3AE" w14:textId="77777777" w:rsidR="004A00AB" w:rsidRPr="006E61DB" w:rsidRDefault="004A00AB" w:rsidP="004A00AB">
      <w:pPr>
        <w:spacing w:after="100" w:afterAutospacing="1" w:line="360" w:lineRule="auto"/>
        <w:ind w:firstLine="708"/>
        <w:jc w:val="both"/>
        <w:rPr>
          <w:rFonts w:ascii="Book Antiqua" w:hAnsi="Book Antiqua"/>
          <w:sz w:val="28"/>
          <w:szCs w:val="28"/>
        </w:rPr>
      </w:pPr>
      <w:r w:rsidRPr="006E61DB">
        <w:rPr>
          <w:rFonts w:ascii="Book Antiqua" w:hAnsi="Book Antiqua"/>
          <w:sz w:val="28"/>
          <w:szCs w:val="28"/>
        </w:rPr>
        <w:lastRenderedPageBreak/>
        <w:t xml:space="preserve"> El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sz w:val="28"/>
          <w:szCs w:val="28"/>
        </w:rPr>
        <w:t xml:space="preserve"> estaba ya recogido en todas las normativas y países de la </w:t>
      </w:r>
      <w:proofErr w:type="gramStart"/>
      <w:r w:rsidRPr="006E61DB">
        <w:rPr>
          <w:rFonts w:ascii="Book Antiqua" w:hAnsi="Book Antiqua"/>
          <w:sz w:val="28"/>
          <w:szCs w:val="28"/>
        </w:rPr>
        <w:t>Unión</w:t>
      </w:r>
      <w:proofErr w:type="gramEnd"/>
      <w:r w:rsidRPr="006E61DB">
        <w:rPr>
          <w:rFonts w:ascii="Book Antiqua" w:hAnsi="Book Antiqua"/>
          <w:sz w:val="28"/>
          <w:szCs w:val="28"/>
        </w:rPr>
        <w:t xml:space="preserve"> pero faltaba la elaboración legislativa y jurisprudencial comunitaria. Con su inclusión se pretendía poner los medios para conseguir seguridad jurídica a través de normas </w:t>
      </w:r>
      <w:proofErr w:type="spellStart"/>
      <w:r w:rsidRPr="006E61DB">
        <w:rPr>
          <w:rFonts w:ascii="Book Antiqua" w:hAnsi="Book Antiqua"/>
          <w:sz w:val="28"/>
          <w:szCs w:val="28"/>
        </w:rPr>
        <w:t>cogentes</w:t>
      </w:r>
      <w:proofErr w:type="spellEnd"/>
      <w:r w:rsidRPr="006E61DB">
        <w:rPr>
          <w:rFonts w:ascii="Book Antiqua" w:hAnsi="Book Antiqua"/>
          <w:sz w:val="28"/>
          <w:szCs w:val="28"/>
        </w:rPr>
        <w:t xml:space="preserve"> y unificadoras que permitiesen juzgar los daños ocasionados a contratantes y no contratantes, tanto entre ciudadanos comunitarios como extracomunitarios. En palabras del Reglamento Roma II, que permitiesen </w:t>
      </w:r>
      <w:r w:rsidRPr="006E61DB">
        <w:rPr>
          <w:rFonts w:ascii="Book Antiqua" w:hAnsi="Book Antiqua"/>
          <w:i/>
          <w:sz w:val="28"/>
          <w:szCs w:val="28"/>
        </w:rPr>
        <w:t>el correcto funcionamiento del mercado interior, con el fin de favorecer la previsibilidad de resultados de los litigios, la seguridad jurídica y la libre circulación de resoluciones judiciales</w:t>
      </w:r>
      <w:r w:rsidRPr="006E61DB">
        <w:rPr>
          <w:rFonts w:ascii="Book Antiqua" w:hAnsi="Book Antiqua"/>
          <w:sz w:val="28"/>
          <w:szCs w:val="28"/>
        </w:rPr>
        <w:t xml:space="preserve">. Con el entramado jurídico establecido en los Reglamentos Roma I, Roma II, estableciendo la ley a aplicar en </w:t>
      </w:r>
      <w:r>
        <w:rPr>
          <w:rFonts w:ascii="Book Antiqua" w:hAnsi="Book Antiqua"/>
          <w:sz w:val="28"/>
          <w:szCs w:val="28"/>
        </w:rPr>
        <w:t xml:space="preserve">el </w:t>
      </w:r>
      <w:r w:rsidRPr="006E61DB">
        <w:rPr>
          <w:rFonts w:ascii="Book Antiqua" w:hAnsi="Book Antiqua"/>
          <w:sz w:val="28"/>
          <w:szCs w:val="28"/>
        </w:rPr>
        <w:t xml:space="preserve">supuesto de conflicto de leyes, y los Reglamentos Bruselas I y su continuador, Bruselas I-bis, estableciendo las normas de competencia, favoreciendo la ejecución de las sentencias en materia civil y mercantil, parecía que la aplicación del principio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sz w:val="28"/>
          <w:szCs w:val="28"/>
        </w:rPr>
        <w:t xml:space="preserve"> no habría de plantear ninguna duda, pero no fue así. Ciertamente, el </w:t>
      </w:r>
      <w:proofErr w:type="gramStart"/>
      <w:r w:rsidRPr="006E61DB">
        <w:rPr>
          <w:rFonts w:ascii="Book Antiqua" w:hAnsi="Book Antiqua"/>
          <w:sz w:val="28"/>
          <w:szCs w:val="28"/>
        </w:rPr>
        <w:t>Considerando  15</w:t>
      </w:r>
      <w:proofErr w:type="gramEnd"/>
      <w:r w:rsidRPr="006E61DB">
        <w:rPr>
          <w:rFonts w:ascii="Book Antiqua" w:hAnsi="Book Antiqua"/>
          <w:sz w:val="28"/>
          <w:szCs w:val="28"/>
        </w:rPr>
        <w:t xml:space="preserve"> del Reglamento Roma II lo postula como solución básica en materia de obligaciones extracontractuales</w:t>
      </w:r>
      <w:r w:rsidRPr="006E61DB">
        <w:rPr>
          <w:rStyle w:val="Refdenotaalpie"/>
          <w:rFonts w:ascii="Book Antiqua" w:hAnsi="Book Antiqua"/>
          <w:sz w:val="28"/>
          <w:szCs w:val="28"/>
        </w:rPr>
        <w:footnoteReference w:id="48"/>
      </w:r>
      <w:r w:rsidRPr="006E61DB">
        <w:rPr>
          <w:rFonts w:ascii="Book Antiqua" w:hAnsi="Book Antiqua"/>
          <w:sz w:val="28"/>
          <w:szCs w:val="28"/>
        </w:rPr>
        <w:t xml:space="preserve">. En coherencia con dicho principio general, el artículo 7,2 del Reglamento Bruselas I-bis, dentro del </w:t>
      </w:r>
      <w:r w:rsidRPr="006E61DB">
        <w:rPr>
          <w:rFonts w:ascii="Book Antiqua" w:hAnsi="Book Antiqua"/>
          <w:sz w:val="28"/>
          <w:szCs w:val="28"/>
        </w:rPr>
        <w:lastRenderedPageBreak/>
        <w:t xml:space="preserve">capítulo </w:t>
      </w:r>
      <w:r w:rsidRPr="006E61DB">
        <w:rPr>
          <w:rFonts w:ascii="Book Antiqua" w:hAnsi="Book Antiqua"/>
          <w:i/>
          <w:sz w:val="28"/>
          <w:szCs w:val="28"/>
        </w:rPr>
        <w:t>Competencias especiales</w:t>
      </w:r>
      <w:r w:rsidRPr="006E61DB">
        <w:rPr>
          <w:rFonts w:ascii="Book Antiqua" w:hAnsi="Book Antiqua"/>
          <w:sz w:val="28"/>
          <w:szCs w:val="28"/>
        </w:rPr>
        <w:t xml:space="preserve"> afirma: </w:t>
      </w:r>
      <w:r w:rsidRPr="006E61DB">
        <w:rPr>
          <w:rFonts w:ascii="Book Antiqua" w:hAnsi="Book Antiqua"/>
          <w:i/>
          <w:sz w:val="28"/>
          <w:szCs w:val="28"/>
        </w:rPr>
        <w:t xml:space="preserve">En materia delictual o </w:t>
      </w:r>
      <w:proofErr w:type="spellStart"/>
      <w:proofErr w:type="gramStart"/>
      <w:r w:rsidRPr="006E61DB">
        <w:rPr>
          <w:rFonts w:ascii="Book Antiqua" w:hAnsi="Book Antiqua"/>
          <w:i/>
          <w:sz w:val="28"/>
          <w:szCs w:val="28"/>
        </w:rPr>
        <w:t>cuasidelictual</w:t>
      </w:r>
      <w:proofErr w:type="spellEnd"/>
      <w:r w:rsidRPr="006E61DB">
        <w:rPr>
          <w:rFonts w:ascii="Book Antiqua" w:hAnsi="Book Antiqua"/>
          <w:i/>
          <w:sz w:val="28"/>
          <w:szCs w:val="28"/>
        </w:rPr>
        <w:t>,-</w:t>
      </w:r>
      <w:proofErr w:type="gramEnd"/>
      <w:r w:rsidRPr="006E61DB">
        <w:rPr>
          <w:rFonts w:ascii="Book Antiqua" w:hAnsi="Book Antiqua"/>
          <w:i/>
          <w:sz w:val="28"/>
          <w:szCs w:val="28"/>
        </w:rPr>
        <w:t>una persona domiciliada en un Estado miembro podrá ser demandada en otro Estado miembro– ante el órgano jurisdiccional del lugar donde se haya producido o pueda producirse el hecho dañoso.</w:t>
      </w:r>
      <w:r w:rsidRPr="006E61DB">
        <w:rPr>
          <w:rFonts w:ascii="Book Antiqua" w:hAnsi="Book Antiqua"/>
          <w:sz w:val="28"/>
          <w:szCs w:val="28"/>
        </w:rPr>
        <w:t xml:space="preserve"> Pero, como mencionábamos anteriormente, el legislador introdujo una variación respecto a la práctica tradicional al considerar que la </w:t>
      </w:r>
      <w:r w:rsidRPr="006E61DB">
        <w:rPr>
          <w:rFonts w:ascii="Book Antiqua" w:hAnsi="Book Antiqua"/>
          <w:i/>
          <w:sz w:val="28"/>
          <w:szCs w:val="28"/>
        </w:rPr>
        <w:t xml:space="preserve">lex loci </w:t>
      </w:r>
      <w:proofErr w:type="spellStart"/>
      <w:r w:rsidRPr="006E61DB">
        <w:rPr>
          <w:rFonts w:ascii="Book Antiqua" w:hAnsi="Book Antiqua"/>
          <w:i/>
          <w:sz w:val="28"/>
          <w:szCs w:val="28"/>
        </w:rPr>
        <w:t>delici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sz w:val="28"/>
          <w:szCs w:val="28"/>
        </w:rPr>
        <w:t xml:space="preserve"> podía introducir en </w:t>
      </w:r>
      <w:r>
        <w:rPr>
          <w:rFonts w:ascii="Book Antiqua" w:hAnsi="Book Antiqua"/>
          <w:sz w:val="28"/>
          <w:szCs w:val="28"/>
        </w:rPr>
        <w:t>la sociedad globalizada actual</w:t>
      </w:r>
      <w:r w:rsidRPr="006E61DB">
        <w:rPr>
          <w:rFonts w:ascii="Book Antiqua" w:hAnsi="Book Antiqua"/>
          <w:sz w:val="28"/>
          <w:szCs w:val="28"/>
        </w:rPr>
        <w:t xml:space="preserve"> inseguridad jurídica y una carga de injusticia, pues los perjuicios podían ser supranacionales. En este caso, la legislación aplicable en materia de obligaciones extracontractuales </w:t>
      </w:r>
      <w:r>
        <w:rPr>
          <w:rFonts w:ascii="Book Antiqua" w:hAnsi="Book Antiqua"/>
          <w:sz w:val="28"/>
          <w:szCs w:val="28"/>
        </w:rPr>
        <w:t>sería, de acuerdo con el Reglamento,</w:t>
      </w:r>
      <w:r w:rsidRPr="006E61DB">
        <w:rPr>
          <w:rFonts w:ascii="Book Antiqua" w:hAnsi="Book Antiqua"/>
          <w:sz w:val="28"/>
          <w:szCs w:val="28"/>
        </w:rPr>
        <w:t xml:space="preserve"> la del lugar de la comisión </w:t>
      </w:r>
      <w:proofErr w:type="gramStart"/>
      <w:r w:rsidRPr="006E61DB">
        <w:rPr>
          <w:rFonts w:ascii="Book Antiqua" w:hAnsi="Book Antiqua"/>
          <w:sz w:val="28"/>
          <w:szCs w:val="28"/>
        </w:rPr>
        <w:t>del mismo</w:t>
      </w:r>
      <w:proofErr w:type="gramEnd"/>
      <w:r w:rsidRPr="006E61DB">
        <w:rPr>
          <w:rFonts w:ascii="Book Antiqua" w:hAnsi="Book Antiqua"/>
          <w:sz w:val="28"/>
          <w:szCs w:val="28"/>
        </w:rPr>
        <w:t xml:space="preserve">. En palabras del legislador comunitario, </w:t>
      </w:r>
      <w:r w:rsidRPr="006E61DB">
        <w:rPr>
          <w:rFonts w:ascii="Book Antiqua" w:hAnsi="Book Antiqua"/>
          <w:i/>
          <w:sz w:val="28"/>
          <w:szCs w:val="28"/>
        </w:rPr>
        <w:t xml:space="preserve">la ley aplicable a una obligación extracontractual que se derive de un hecho dañoso es la del país donde se produce el daño, independientemente del país donde se haya producido el hecho generador del daño y cualesquiera que sean el país o los países en que se producen las consecuencias indirectas del hecho en cuestión, </w:t>
      </w:r>
      <w:r w:rsidRPr="006E61DB">
        <w:rPr>
          <w:rFonts w:ascii="Book Antiqua" w:hAnsi="Book Antiqua"/>
          <w:sz w:val="28"/>
          <w:szCs w:val="28"/>
        </w:rPr>
        <w:t>salvo cuando la persona cuya responsabilidad se alega y la persona perjudicada tengan la misma residencia habitual</w:t>
      </w:r>
      <w:r w:rsidRPr="006E61DB">
        <w:rPr>
          <w:rStyle w:val="Refdenotaalpie"/>
          <w:rFonts w:ascii="Book Antiqua" w:hAnsi="Book Antiqua"/>
          <w:i/>
          <w:sz w:val="28"/>
          <w:szCs w:val="28"/>
        </w:rPr>
        <w:footnoteReference w:id="49"/>
      </w:r>
      <w:r w:rsidRPr="006E61DB">
        <w:rPr>
          <w:rFonts w:ascii="Book Antiqua" w:hAnsi="Book Antiqua"/>
          <w:sz w:val="28"/>
          <w:szCs w:val="28"/>
        </w:rPr>
        <w:t>.</w:t>
      </w:r>
      <w:r w:rsidRPr="006E61DB">
        <w:rPr>
          <w:rFonts w:ascii="Book Antiqua" w:hAnsi="Book Antiqua"/>
          <w:i/>
          <w:sz w:val="28"/>
          <w:szCs w:val="28"/>
        </w:rPr>
        <w:t xml:space="preserve"> </w:t>
      </w:r>
      <w:r w:rsidRPr="006E61DB">
        <w:rPr>
          <w:rFonts w:ascii="Book Antiqua" w:hAnsi="Book Antiqua"/>
          <w:sz w:val="28"/>
          <w:szCs w:val="28"/>
        </w:rPr>
        <w:t xml:space="preserve">De lo anteriormente expuesto se deduce que, en los supuestos en que hubiese coincidencia entre el lugar en que se produjeron los hechos y el lugar en el que se producen los efectos de </w:t>
      </w:r>
      <w:proofErr w:type="gramStart"/>
      <w:r w:rsidRPr="006E61DB">
        <w:rPr>
          <w:rFonts w:ascii="Book Antiqua" w:hAnsi="Book Antiqua"/>
          <w:sz w:val="28"/>
          <w:szCs w:val="28"/>
        </w:rPr>
        <w:t>los mismos</w:t>
      </w:r>
      <w:proofErr w:type="gramEnd"/>
      <w:r w:rsidRPr="006E61DB">
        <w:rPr>
          <w:rFonts w:ascii="Book Antiqua" w:hAnsi="Book Antiqua"/>
          <w:sz w:val="28"/>
          <w:szCs w:val="28"/>
        </w:rPr>
        <w:t xml:space="preserve">, será de aplicación la vieja regla </w:t>
      </w:r>
      <w:r w:rsidRPr="006E61DB">
        <w:rPr>
          <w:rFonts w:ascii="Book Antiqua" w:hAnsi="Book Antiqua"/>
          <w:i/>
          <w:sz w:val="28"/>
          <w:szCs w:val="28"/>
        </w:rPr>
        <w:t xml:space="preserve">lex loci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sz w:val="28"/>
          <w:szCs w:val="28"/>
        </w:rPr>
        <w:t xml:space="preserve">. En los supuestos en que no exista esta coincidencia y el lugar en el que se producen los daños sea distinto al lugar en el que se realizó la acción habrá que acudir a la </w:t>
      </w:r>
      <w:r w:rsidRPr="006E61DB">
        <w:rPr>
          <w:rFonts w:ascii="Book Antiqua" w:hAnsi="Book Antiqua"/>
          <w:i/>
          <w:sz w:val="28"/>
          <w:szCs w:val="28"/>
        </w:rPr>
        <w:t xml:space="preserve">lex loci </w:t>
      </w:r>
      <w:proofErr w:type="spellStart"/>
      <w:r w:rsidRPr="006E61DB">
        <w:rPr>
          <w:rFonts w:ascii="Book Antiqua" w:hAnsi="Book Antiqua"/>
          <w:i/>
          <w:sz w:val="28"/>
          <w:szCs w:val="28"/>
        </w:rPr>
        <w:t>damni</w:t>
      </w:r>
      <w:proofErr w:type="spellEnd"/>
      <w:r w:rsidRPr="006E61DB">
        <w:rPr>
          <w:rFonts w:ascii="Book Antiqua" w:hAnsi="Book Antiqua"/>
          <w:sz w:val="28"/>
          <w:szCs w:val="28"/>
        </w:rPr>
        <w:t xml:space="preserve">. </w:t>
      </w:r>
      <w:r>
        <w:rPr>
          <w:rFonts w:ascii="Book Antiqua" w:hAnsi="Book Antiqua"/>
          <w:sz w:val="28"/>
          <w:szCs w:val="28"/>
        </w:rPr>
        <w:t xml:space="preserve">El propio Reglamento señala </w:t>
      </w:r>
      <w:r w:rsidRPr="006E61DB">
        <w:rPr>
          <w:rFonts w:ascii="Book Antiqua" w:hAnsi="Book Antiqua"/>
          <w:sz w:val="28"/>
          <w:szCs w:val="28"/>
        </w:rPr>
        <w:t xml:space="preserve">que la aplicación práctica del principio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lastRenderedPageBreak/>
        <w:t>delicti</w:t>
      </w:r>
      <w:proofErr w:type="spellEnd"/>
      <w:r w:rsidRPr="006E61DB">
        <w:rPr>
          <w:rFonts w:ascii="Book Antiqua" w:hAnsi="Book Antiqua"/>
          <w:i/>
          <w:sz w:val="28"/>
          <w:szCs w:val="28"/>
        </w:rPr>
        <w:t xml:space="preserve"> </w:t>
      </w:r>
      <w:r w:rsidRPr="006E61DB">
        <w:rPr>
          <w:rFonts w:ascii="Book Antiqua" w:hAnsi="Book Antiqua"/>
          <w:sz w:val="28"/>
          <w:szCs w:val="28"/>
        </w:rPr>
        <w:t>en caso de dispersión de elementos en diversos países varía, siendo fuente de inseguridad jurídica</w:t>
      </w:r>
      <w:r w:rsidRPr="006E61DB">
        <w:rPr>
          <w:rStyle w:val="Refdenotaalpie"/>
          <w:rFonts w:ascii="Book Antiqua" w:hAnsi="Book Antiqua"/>
          <w:sz w:val="28"/>
          <w:szCs w:val="28"/>
        </w:rPr>
        <w:footnoteReference w:id="50"/>
      </w:r>
      <w:r w:rsidRPr="006E61DB">
        <w:rPr>
          <w:rFonts w:ascii="Book Antiqua" w:hAnsi="Book Antiqua"/>
          <w:sz w:val="28"/>
          <w:szCs w:val="28"/>
        </w:rPr>
        <w:t xml:space="preserve">. Pero la riqueza de supuestos que puede plantearse es tan amplia que la declaración general sobre leyes aplicables encontró excepciones legales y jurisprudenciales, quizá originadas por la amplia definición que el propio legislador comunitario dio al concepto de daño, al entender que: “a los efectos del presente Reglamento, </w:t>
      </w:r>
      <w:r w:rsidRPr="006E61DB">
        <w:rPr>
          <w:rFonts w:ascii="Book Antiqua" w:hAnsi="Book Antiqua"/>
          <w:i/>
          <w:sz w:val="28"/>
          <w:szCs w:val="28"/>
        </w:rPr>
        <w:t>se entenderá por</w:t>
      </w:r>
      <w:r w:rsidRPr="006E61DB">
        <w:rPr>
          <w:rFonts w:ascii="Book Antiqua" w:hAnsi="Book Antiqua"/>
          <w:sz w:val="28"/>
          <w:szCs w:val="28"/>
        </w:rPr>
        <w:t xml:space="preserve"> </w:t>
      </w:r>
      <w:r w:rsidRPr="006E61DB">
        <w:rPr>
          <w:rFonts w:ascii="Book Antiqua" w:hAnsi="Book Antiqua"/>
          <w:i/>
          <w:sz w:val="28"/>
          <w:szCs w:val="28"/>
        </w:rPr>
        <w:t xml:space="preserve">“daños” todas las consecuencias resultantes de un hecho dañoso, el enriquecimiento injusto, la gestión de negocios o la culpa in </w:t>
      </w:r>
      <w:proofErr w:type="spellStart"/>
      <w:r w:rsidRPr="006E61DB">
        <w:rPr>
          <w:rFonts w:ascii="Book Antiqua" w:hAnsi="Book Antiqua"/>
          <w:i/>
          <w:sz w:val="28"/>
          <w:szCs w:val="28"/>
        </w:rPr>
        <w:t>contrahendo</w:t>
      </w:r>
      <w:proofErr w:type="spellEnd"/>
      <w:r w:rsidRPr="006E61DB">
        <w:rPr>
          <w:rFonts w:ascii="Book Antiqua" w:hAnsi="Book Antiqua"/>
          <w:i/>
          <w:sz w:val="28"/>
          <w:szCs w:val="28"/>
        </w:rPr>
        <w:t xml:space="preserve">. </w:t>
      </w:r>
      <w:r w:rsidRPr="006E61DB">
        <w:rPr>
          <w:rFonts w:ascii="Book Antiqua" w:hAnsi="Book Antiqua"/>
          <w:sz w:val="28"/>
          <w:szCs w:val="28"/>
        </w:rPr>
        <w:t xml:space="preserve">Incluso amplía el Reglamento su aplicación a </w:t>
      </w:r>
      <w:r w:rsidRPr="006E61DB">
        <w:rPr>
          <w:rFonts w:ascii="Book Antiqua" w:hAnsi="Book Antiqua"/>
          <w:i/>
          <w:sz w:val="28"/>
          <w:szCs w:val="28"/>
        </w:rPr>
        <w:t xml:space="preserve">cualquier hecho generador de daño, así como </w:t>
      </w:r>
      <w:proofErr w:type="gramStart"/>
      <w:r w:rsidRPr="006E61DB">
        <w:rPr>
          <w:rFonts w:ascii="Book Antiqua" w:hAnsi="Book Antiqua"/>
          <w:i/>
          <w:sz w:val="28"/>
          <w:szCs w:val="28"/>
        </w:rPr>
        <w:t>a  cualquier</w:t>
      </w:r>
      <w:proofErr w:type="gramEnd"/>
      <w:r w:rsidRPr="006E61DB">
        <w:rPr>
          <w:rFonts w:ascii="Book Antiqua" w:hAnsi="Book Antiqua"/>
          <w:i/>
          <w:sz w:val="28"/>
          <w:szCs w:val="28"/>
        </w:rPr>
        <w:t xml:space="preserve"> daño que pueda producirse</w:t>
      </w:r>
      <w:r w:rsidRPr="006E61DB">
        <w:rPr>
          <w:rStyle w:val="Refdenotaalpie"/>
          <w:rFonts w:ascii="Book Antiqua" w:hAnsi="Book Antiqua"/>
          <w:i/>
          <w:sz w:val="28"/>
          <w:szCs w:val="28"/>
        </w:rPr>
        <w:footnoteReference w:id="51"/>
      </w:r>
      <w:r w:rsidRPr="006E61DB">
        <w:rPr>
          <w:rFonts w:ascii="Book Antiqua" w:hAnsi="Book Antiqua"/>
          <w:sz w:val="28"/>
          <w:szCs w:val="28"/>
        </w:rPr>
        <w:t xml:space="preserve">. En cuanto a las especialidades legales, aparte de las ya citadas, el legislador introduce las llamadas “cláusulas de escape” creadas por vía de excepcionalidad para buscar unos fueros más apropiados a los intereses de las partes o de proximidad a los hechos enjuiciados. En lo referente a la vía jurisprudencial, fueron los delitos o cuasidelitos originados mediante plataformas digitales, internet o la mera práctica bancaria desarrollada en los diversos países de la Unión los que llevaron a buscar nuevas soluciones. Es por ello </w:t>
      </w:r>
      <w:proofErr w:type="gramStart"/>
      <w:r w:rsidRPr="006E61DB">
        <w:rPr>
          <w:rFonts w:ascii="Book Antiqua" w:hAnsi="Book Antiqua"/>
          <w:sz w:val="28"/>
          <w:szCs w:val="28"/>
        </w:rPr>
        <w:t>que</w:t>
      </w:r>
      <w:proofErr w:type="gramEnd"/>
      <w:r w:rsidRPr="006E61DB">
        <w:rPr>
          <w:rFonts w:ascii="Book Antiqua" w:hAnsi="Book Antiqua"/>
          <w:sz w:val="28"/>
          <w:szCs w:val="28"/>
        </w:rPr>
        <w:t xml:space="preserve">, en materia de infracciones de los derechos de propiedad intelectual, se remite el texto legal al principio </w:t>
      </w:r>
      <w:r w:rsidRPr="006E61DB">
        <w:rPr>
          <w:rFonts w:ascii="Book Antiqua" w:hAnsi="Book Antiqua"/>
          <w:i/>
          <w:sz w:val="28"/>
          <w:szCs w:val="28"/>
        </w:rPr>
        <w:t xml:space="preserve">lex loci </w:t>
      </w:r>
      <w:proofErr w:type="spellStart"/>
      <w:r w:rsidRPr="006E61DB">
        <w:rPr>
          <w:rFonts w:ascii="Book Antiqua" w:hAnsi="Book Antiqua"/>
          <w:i/>
          <w:sz w:val="28"/>
          <w:szCs w:val="28"/>
        </w:rPr>
        <w:t>protectionis</w:t>
      </w:r>
      <w:proofErr w:type="spellEnd"/>
      <w:r w:rsidRPr="006E61DB">
        <w:rPr>
          <w:rFonts w:ascii="Book Antiqua" w:hAnsi="Book Antiqua"/>
          <w:sz w:val="28"/>
          <w:szCs w:val="28"/>
        </w:rPr>
        <w:t xml:space="preserve"> o, en cuestiones relativas a obligaciones extracontractuales que se derivan de las restricciones a la competencia, la materia aplicable </w:t>
      </w:r>
      <w:r w:rsidRPr="006E61DB">
        <w:rPr>
          <w:rFonts w:ascii="Book Antiqua" w:hAnsi="Book Antiqua"/>
          <w:i/>
          <w:sz w:val="28"/>
          <w:szCs w:val="28"/>
        </w:rPr>
        <w:t>deba ser la del país cuyo mercado se vea o pueda verse afectado</w:t>
      </w:r>
      <w:r w:rsidRPr="006E61DB">
        <w:rPr>
          <w:rFonts w:ascii="Book Antiqua" w:hAnsi="Book Antiqua"/>
          <w:sz w:val="28"/>
          <w:szCs w:val="28"/>
        </w:rPr>
        <w:t xml:space="preserve">.  Son muchos los ejemplos que se pueden citar </w:t>
      </w:r>
      <w:r w:rsidRPr="006E61DB">
        <w:rPr>
          <w:rFonts w:ascii="Book Antiqua" w:hAnsi="Book Antiqua"/>
          <w:sz w:val="28"/>
          <w:szCs w:val="28"/>
        </w:rPr>
        <w:lastRenderedPageBreak/>
        <w:t xml:space="preserve">en los que se aprecia cómo el </w:t>
      </w:r>
      <w:proofErr w:type="spellStart"/>
      <w:r w:rsidRPr="006E61DB">
        <w:rPr>
          <w:rFonts w:ascii="Book Antiqua" w:hAnsi="Book Antiqua"/>
          <w:sz w:val="28"/>
          <w:szCs w:val="28"/>
        </w:rPr>
        <w:t>TJUE</w:t>
      </w:r>
      <w:proofErr w:type="spellEnd"/>
      <w:r w:rsidRPr="006E61DB">
        <w:rPr>
          <w:rFonts w:ascii="Book Antiqua" w:hAnsi="Book Antiqua"/>
          <w:sz w:val="28"/>
          <w:szCs w:val="28"/>
        </w:rPr>
        <w:t xml:space="preserve"> en sus sentencias aplica los principios tradicionales romanos o, con nuevos criterios, se aparta de ellos. Es reveladora la sentencia </w:t>
      </w:r>
      <w:proofErr w:type="spellStart"/>
      <w:r w:rsidRPr="006E61DB">
        <w:rPr>
          <w:rFonts w:ascii="Book Antiqua" w:hAnsi="Book Antiqua"/>
          <w:sz w:val="28"/>
          <w:szCs w:val="28"/>
        </w:rPr>
        <w:t>STJUE</w:t>
      </w:r>
      <w:proofErr w:type="spellEnd"/>
      <w:r w:rsidRPr="006E61DB">
        <w:rPr>
          <w:rFonts w:ascii="Book Antiqua" w:hAnsi="Book Antiqua"/>
          <w:sz w:val="28"/>
          <w:szCs w:val="28"/>
        </w:rPr>
        <w:t xml:space="preserve"> </w:t>
      </w:r>
      <w:proofErr w:type="gramStart"/>
      <w:r w:rsidRPr="006E61DB">
        <w:rPr>
          <w:rFonts w:ascii="Book Antiqua" w:hAnsi="Book Antiqua"/>
          <w:sz w:val="28"/>
          <w:szCs w:val="28"/>
        </w:rPr>
        <w:t>C-304/17.ECLI:UE</w:t>
      </w:r>
      <w:proofErr w:type="gramEnd"/>
      <w:r w:rsidRPr="006E61DB">
        <w:rPr>
          <w:rFonts w:ascii="Book Antiqua" w:hAnsi="Book Antiqua"/>
          <w:sz w:val="28"/>
          <w:szCs w:val="28"/>
        </w:rPr>
        <w:t xml:space="preserve">:C: 2018:701 en la que, fallando sobre un litigio entre una ciudadana de la UE y la entidad </w:t>
      </w:r>
      <w:proofErr w:type="spellStart"/>
      <w:r w:rsidRPr="006E61DB">
        <w:rPr>
          <w:rFonts w:ascii="Book Antiqua" w:hAnsi="Book Antiqua"/>
          <w:sz w:val="28"/>
          <w:szCs w:val="28"/>
        </w:rPr>
        <w:t>Barklays</w:t>
      </w:r>
      <w:proofErr w:type="spellEnd"/>
      <w:r w:rsidRPr="006E61DB">
        <w:rPr>
          <w:rFonts w:ascii="Book Antiqua" w:hAnsi="Book Antiqua"/>
          <w:sz w:val="28"/>
          <w:szCs w:val="28"/>
        </w:rPr>
        <w:t xml:space="preserve"> Bank, sienta jurisprudencia el Alto Tribunal definiendo el concepto jurídico de lo que deba entenderse por “materia delictual o </w:t>
      </w:r>
      <w:proofErr w:type="spellStart"/>
      <w:r w:rsidRPr="006E61DB">
        <w:rPr>
          <w:rFonts w:ascii="Book Antiqua" w:hAnsi="Book Antiqua"/>
          <w:sz w:val="28"/>
          <w:szCs w:val="28"/>
        </w:rPr>
        <w:t>cuasidelictual</w:t>
      </w:r>
      <w:proofErr w:type="spellEnd"/>
      <w:r w:rsidRPr="006E61DB">
        <w:rPr>
          <w:rFonts w:ascii="Book Antiqua" w:hAnsi="Book Antiqua"/>
          <w:sz w:val="28"/>
          <w:szCs w:val="28"/>
        </w:rPr>
        <w:t xml:space="preserve">”. A tal efecto señala que comprende </w:t>
      </w:r>
      <w:r w:rsidRPr="006E61DB">
        <w:rPr>
          <w:rFonts w:ascii="Book Antiqua" w:hAnsi="Book Antiqua"/>
          <w:i/>
          <w:sz w:val="28"/>
          <w:szCs w:val="28"/>
        </w:rPr>
        <w:t>toda pretensión con la que se exija responsabilidad a un demandado y que no está relacionada con la “materia contractual”</w:t>
      </w:r>
      <w:r w:rsidRPr="006E61DB">
        <w:rPr>
          <w:rFonts w:ascii="Book Antiqua" w:hAnsi="Book Antiqua"/>
          <w:sz w:val="28"/>
          <w:szCs w:val="28"/>
        </w:rPr>
        <w:t xml:space="preserve"> </w:t>
      </w:r>
      <w:r w:rsidRPr="006E61DB">
        <w:rPr>
          <w:rStyle w:val="Refdenotaalpie"/>
          <w:rFonts w:ascii="Book Antiqua" w:hAnsi="Book Antiqua"/>
          <w:sz w:val="28"/>
          <w:szCs w:val="28"/>
        </w:rPr>
        <w:footnoteReference w:id="52"/>
      </w:r>
      <w:r w:rsidRPr="006E61DB">
        <w:rPr>
          <w:rFonts w:ascii="Book Antiqua" w:hAnsi="Book Antiqua"/>
          <w:sz w:val="28"/>
          <w:szCs w:val="28"/>
        </w:rPr>
        <w:t xml:space="preserve">. Del mismo modo señala lo que “no es lugar de producción del hecho dañoso”, pero sí lo que debe entenderse por lugar del daño, señalando que </w:t>
      </w:r>
      <w:r w:rsidRPr="006E61DB">
        <w:rPr>
          <w:rFonts w:ascii="Book Antiqua" w:hAnsi="Book Antiqua"/>
          <w:i/>
          <w:sz w:val="28"/>
          <w:szCs w:val="28"/>
        </w:rPr>
        <w:t>no es cualquier lugar en el que puedan experimentarse consecuencias perjudiciales de un hecho que haya causado ya un daño efectivamente sobrevenido en otro lugar. Tampoco que lo sea el domicilio del demandante donde tenga el centro de su patrimonio únicamente por el hecho de que el demandante haya sufrido en ese lugar un perjuicio económico.</w:t>
      </w:r>
      <w:r w:rsidRPr="006E61DB">
        <w:rPr>
          <w:rStyle w:val="Refdenotaalpie"/>
          <w:rFonts w:ascii="Book Antiqua" w:hAnsi="Book Antiqua"/>
          <w:i/>
          <w:sz w:val="28"/>
          <w:szCs w:val="28"/>
        </w:rPr>
        <w:footnoteReference w:id="53"/>
      </w:r>
      <w:r w:rsidRPr="006E61DB">
        <w:rPr>
          <w:rFonts w:ascii="Book Antiqua" w:hAnsi="Book Antiqua"/>
          <w:i/>
          <w:sz w:val="28"/>
          <w:szCs w:val="28"/>
        </w:rPr>
        <w:t>.</w:t>
      </w:r>
      <w:r w:rsidRPr="006E61DB">
        <w:rPr>
          <w:rFonts w:ascii="Book Antiqua" w:hAnsi="Book Antiqua"/>
          <w:sz w:val="28"/>
          <w:szCs w:val="28"/>
        </w:rPr>
        <w:t xml:space="preserve"> </w:t>
      </w:r>
      <w:r w:rsidRPr="006E61DB">
        <w:rPr>
          <w:rFonts w:ascii="Book Antiqua" w:hAnsi="Book Antiqua"/>
          <w:sz w:val="28"/>
          <w:szCs w:val="28"/>
        </w:rPr>
        <w:lastRenderedPageBreak/>
        <w:t>Parecidos criterios se recogieron en sentencias en las que se enjuiciaban daños contra la personalidad realizados por medio de internet</w:t>
      </w:r>
      <w:r w:rsidRPr="006E61DB">
        <w:rPr>
          <w:rStyle w:val="Refdenotaalpie"/>
          <w:rFonts w:ascii="Book Antiqua" w:hAnsi="Book Antiqua"/>
          <w:sz w:val="28"/>
          <w:szCs w:val="28"/>
        </w:rPr>
        <w:footnoteReference w:id="54"/>
      </w:r>
      <w:r w:rsidRPr="006E61DB">
        <w:rPr>
          <w:rFonts w:ascii="Book Antiqua" w:hAnsi="Book Antiqua"/>
          <w:sz w:val="28"/>
          <w:szCs w:val="28"/>
        </w:rPr>
        <w:t xml:space="preserve">. En </w:t>
      </w:r>
      <w:proofErr w:type="spellStart"/>
      <w:r w:rsidRPr="006E61DB">
        <w:rPr>
          <w:rFonts w:ascii="Book Antiqua" w:hAnsi="Book Antiqua"/>
          <w:sz w:val="28"/>
          <w:szCs w:val="28"/>
        </w:rPr>
        <w:t>STJUE</w:t>
      </w:r>
      <w:proofErr w:type="spellEnd"/>
      <w:r w:rsidRPr="006E61DB">
        <w:rPr>
          <w:rFonts w:ascii="Book Antiqua" w:hAnsi="Book Antiqua"/>
          <w:sz w:val="28"/>
          <w:szCs w:val="28"/>
        </w:rPr>
        <w:t xml:space="preserve"> de 25 de octubre de 2011 (asuntos acumulados C-509/9 y c-161/10), se resolvían supuestos de difamación mediante artículos de prensa con una difusión universal. Se fallaba en este caso que, además de poder demandar en el domicilio del editor, también se podía demandar en el lugar donde tuviese su “centro de intereses”. En este caso no se acude a los conceptos </w:t>
      </w:r>
      <w:r w:rsidRPr="006E61DB">
        <w:rPr>
          <w:rFonts w:ascii="Book Antiqua" w:hAnsi="Book Antiqua"/>
          <w:i/>
          <w:sz w:val="28"/>
          <w:szCs w:val="28"/>
        </w:rPr>
        <w:t>domicilio</w:t>
      </w:r>
      <w:r w:rsidRPr="006E61DB">
        <w:rPr>
          <w:rFonts w:ascii="Book Antiqua" w:hAnsi="Book Antiqua"/>
          <w:sz w:val="28"/>
          <w:szCs w:val="28"/>
        </w:rPr>
        <w:t xml:space="preserve"> o </w:t>
      </w:r>
      <w:r w:rsidRPr="006E61DB">
        <w:rPr>
          <w:rFonts w:ascii="Book Antiqua" w:hAnsi="Book Antiqua"/>
          <w:i/>
          <w:sz w:val="28"/>
          <w:szCs w:val="28"/>
        </w:rPr>
        <w:t>residencia habitual</w:t>
      </w:r>
      <w:r w:rsidRPr="006E61DB">
        <w:rPr>
          <w:rFonts w:ascii="Book Antiqua" w:hAnsi="Book Antiqua"/>
          <w:sz w:val="28"/>
          <w:szCs w:val="28"/>
        </w:rPr>
        <w:t xml:space="preserve">, sino que introduce el de </w:t>
      </w:r>
      <w:r w:rsidRPr="006E61DB">
        <w:rPr>
          <w:rFonts w:ascii="Book Antiqua" w:hAnsi="Book Antiqua"/>
          <w:i/>
          <w:sz w:val="28"/>
          <w:szCs w:val="28"/>
        </w:rPr>
        <w:t>centro de intereses</w:t>
      </w:r>
      <w:r w:rsidRPr="006E61DB">
        <w:rPr>
          <w:rFonts w:ascii="Book Antiqua" w:hAnsi="Book Antiqua"/>
          <w:sz w:val="28"/>
          <w:szCs w:val="28"/>
        </w:rPr>
        <w:t xml:space="preserve">. Señala la citada sentencia que suele haber coincidencia entre el lugar donde se tiene la residencia habitual y el centro de intereses de una persona, pero que no tiene que ser necesariamente así, pudiendo radicar, por ejemplo, por razones profesionales, en otro estado de la Unión. A este respecto es destacable que, a pesar de que todas las sentencias condenatorias lo son porque se han conculcado derechos o se han producido perjuicios, el hecho de que se hable de “centro de intereses”, parece dejar al margen al domicilio o residencia habitual por no existir en éstas intereses protegibles o susceptibles de perjuicio personal o mercantil. Otro dato destacable es que se utilizan conceptos cuya delimitación </w:t>
      </w:r>
      <w:r>
        <w:rPr>
          <w:rFonts w:ascii="Book Antiqua" w:hAnsi="Book Antiqua"/>
          <w:sz w:val="28"/>
          <w:szCs w:val="28"/>
        </w:rPr>
        <w:t xml:space="preserve">jurídica </w:t>
      </w:r>
      <w:r w:rsidRPr="006E61DB">
        <w:rPr>
          <w:rFonts w:ascii="Book Antiqua" w:hAnsi="Book Antiqua"/>
          <w:sz w:val="28"/>
          <w:szCs w:val="28"/>
        </w:rPr>
        <w:t xml:space="preserve">no es siempre nítida, como son domicilio, </w:t>
      </w:r>
      <w:r w:rsidRPr="006E61DB">
        <w:rPr>
          <w:rFonts w:ascii="Book Antiqua" w:hAnsi="Book Antiqua"/>
          <w:sz w:val="28"/>
          <w:szCs w:val="28"/>
        </w:rPr>
        <w:lastRenderedPageBreak/>
        <w:t>residencia habitual y centro de intereses. A ellos se unen otros conceptos jurídicos citados en los textos legales, como son lugar de administración central y establecimiento o sede principal de una persona, que tienen especial relevancia cuando la actividad de una persona jurídica se realiza con oficinas en diversos lugares sin una clara información respecto a la categoría o rango que ostentan dentro de la estructura de la citada persona.</w:t>
      </w:r>
    </w:p>
    <w:p w14:paraId="12D851A6"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ab/>
        <w:t xml:space="preserve">Las innumerables relaciones personales y negociales que se producen en la UE exigen soluciones jurídicas que, como en la Edad Media, obligan a los juristas a rescatar y adaptar a los nuevos tiempos normas y recursos procesales que durante siglos demostraron su utilidad.  </w:t>
      </w:r>
    </w:p>
    <w:p w14:paraId="0FC11577" w14:textId="77777777" w:rsidR="004A00AB" w:rsidRPr="006E61DB" w:rsidRDefault="004A00AB" w:rsidP="004A00AB">
      <w:pPr>
        <w:spacing w:after="100" w:afterAutospacing="1" w:line="360" w:lineRule="auto"/>
        <w:jc w:val="both"/>
        <w:rPr>
          <w:rFonts w:ascii="Book Antiqua" w:hAnsi="Book Antiqua"/>
          <w:sz w:val="28"/>
          <w:szCs w:val="28"/>
        </w:rPr>
      </w:pPr>
      <w:r w:rsidRPr="006E61DB">
        <w:rPr>
          <w:rFonts w:ascii="Book Antiqua" w:hAnsi="Book Antiqua"/>
          <w:sz w:val="28"/>
          <w:szCs w:val="28"/>
        </w:rPr>
        <w:t>IV.- Reflexiones finales</w:t>
      </w:r>
    </w:p>
    <w:p w14:paraId="7D6126A1" w14:textId="77777777" w:rsidR="004A00AB" w:rsidRPr="006E61DB" w:rsidRDefault="004A00AB" w:rsidP="004A00AB">
      <w:pPr>
        <w:spacing w:after="100" w:afterAutospacing="1" w:line="360" w:lineRule="auto"/>
        <w:ind w:firstLine="708"/>
        <w:jc w:val="both"/>
        <w:rPr>
          <w:rFonts w:ascii="Book Antiqua" w:hAnsi="Book Antiqua"/>
          <w:sz w:val="28"/>
          <w:szCs w:val="28"/>
        </w:rPr>
      </w:pPr>
      <w:r w:rsidRPr="006E61DB">
        <w:rPr>
          <w:rFonts w:ascii="Book Antiqua" w:hAnsi="Book Antiqua"/>
          <w:sz w:val="28"/>
          <w:szCs w:val="28"/>
        </w:rPr>
        <w:t>Las normas de la Unión Europea se han creado y adaptado a los tiempos, espacio y casuística del siglo XXI para ser eficaces. Para conseguir este fin partieron de los elementos comunes de las legislaciones de los Estados miembros, al tiempo que introducían principios y preceptos que abrían la puerta a la excepcionalidad, de manera que los principios generales establecidos no fuesen tan rígidos que ocasionasen el rechazo o imposibilidad de aplicación por Estados y ciudadanos de la Unión. En esta construcción legal, especialmente reglamentaria, se han seguido los principios y fueros romanos</w:t>
      </w:r>
      <w:r w:rsidRPr="006E61DB">
        <w:rPr>
          <w:rFonts w:ascii="Book Antiqua" w:hAnsi="Book Antiqua"/>
          <w:i/>
          <w:sz w:val="28"/>
          <w:szCs w:val="28"/>
        </w:rPr>
        <w:t xml:space="preserve"> </w:t>
      </w:r>
      <w:proofErr w:type="spellStart"/>
      <w:r w:rsidRPr="006E61DB">
        <w:rPr>
          <w:rFonts w:ascii="Book Antiqua" w:hAnsi="Book Antiqua"/>
          <w:i/>
          <w:sz w:val="28"/>
          <w:szCs w:val="28"/>
        </w:rPr>
        <w:t>forum</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domicilii</w:t>
      </w:r>
      <w:proofErr w:type="spellEnd"/>
      <w:r w:rsidRPr="006E61DB">
        <w:rPr>
          <w:rFonts w:ascii="Book Antiqua" w:hAnsi="Book Antiqua"/>
          <w:i/>
          <w:sz w:val="28"/>
          <w:szCs w:val="28"/>
        </w:rPr>
        <w:t xml:space="preserve"> </w:t>
      </w:r>
      <w:r w:rsidRPr="006E61DB">
        <w:rPr>
          <w:rFonts w:ascii="Book Antiqua" w:hAnsi="Book Antiqua"/>
          <w:sz w:val="28"/>
          <w:szCs w:val="28"/>
        </w:rPr>
        <w:t>o</w:t>
      </w:r>
      <w:r w:rsidRPr="006E61DB">
        <w:rPr>
          <w:rFonts w:ascii="Book Antiqua" w:hAnsi="Book Antiqua"/>
          <w:i/>
          <w:sz w:val="28"/>
          <w:szCs w:val="28"/>
        </w:rPr>
        <w:t xml:space="preserve"> </w:t>
      </w:r>
      <w:proofErr w:type="spellStart"/>
      <w:r w:rsidRPr="006E61DB">
        <w:rPr>
          <w:rFonts w:ascii="Book Antiqua" w:hAnsi="Book Antiqua"/>
          <w:i/>
          <w:sz w:val="28"/>
          <w:szCs w:val="28"/>
        </w:rPr>
        <w:t>delicti</w:t>
      </w:r>
      <w:proofErr w:type="spellEnd"/>
      <w:r w:rsidRPr="006E61DB">
        <w:rPr>
          <w:rFonts w:ascii="Book Antiqua" w:hAnsi="Book Antiqua"/>
          <w:i/>
          <w:sz w:val="28"/>
          <w:szCs w:val="28"/>
        </w:rPr>
        <w:t xml:space="preserve"> </w:t>
      </w:r>
      <w:proofErr w:type="spellStart"/>
      <w:r w:rsidRPr="006E61DB">
        <w:rPr>
          <w:rFonts w:ascii="Book Antiqua" w:hAnsi="Book Antiqua"/>
          <w:i/>
          <w:sz w:val="28"/>
          <w:szCs w:val="28"/>
        </w:rPr>
        <w:t>commissi</w:t>
      </w:r>
      <w:proofErr w:type="spellEnd"/>
      <w:r w:rsidRPr="006E61DB">
        <w:rPr>
          <w:rFonts w:ascii="Book Antiqua" w:hAnsi="Book Antiqua"/>
          <w:i/>
          <w:sz w:val="28"/>
          <w:szCs w:val="28"/>
        </w:rPr>
        <w:t>,</w:t>
      </w:r>
      <w:r w:rsidRPr="006E61DB">
        <w:rPr>
          <w:rFonts w:ascii="Book Antiqua" w:hAnsi="Book Antiqua"/>
          <w:sz w:val="28"/>
          <w:szCs w:val="28"/>
        </w:rPr>
        <w:t xml:space="preserve"> entre otros, pero con modificaciones que matizan y amplían su aplicación. De este modo nos encontramos con nuevos fueros jurisdiccionales como residencia </w:t>
      </w:r>
      <w:r w:rsidRPr="006E61DB">
        <w:rPr>
          <w:rFonts w:ascii="Book Antiqua" w:hAnsi="Book Antiqua"/>
          <w:sz w:val="28"/>
          <w:szCs w:val="28"/>
        </w:rPr>
        <w:lastRenderedPageBreak/>
        <w:t>habitual o centro de intereses, no coincidentes con los tradicionales romanos.  El punto de partida fue la obra legislativa recopilada en el Corpus, pero adaptada a un espacio en el que la tecnología, la rapidez en las comunicaciones o la desaparición de fronteras han conducido al sentimiento de que</w:t>
      </w:r>
      <w:r>
        <w:rPr>
          <w:rFonts w:ascii="Book Antiqua" w:hAnsi="Book Antiqua"/>
          <w:sz w:val="28"/>
          <w:szCs w:val="28"/>
        </w:rPr>
        <w:t xml:space="preserve"> si</w:t>
      </w:r>
      <w:r w:rsidRPr="006E61DB">
        <w:rPr>
          <w:rFonts w:ascii="Book Antiqua" w:hAnsi="Book Antiqua"/>
          <w:sz w:val="28"/>
          <w:szCs w:val="28"/>
        </w:rPr>
        <w:t xml:space="preserve"> Europa</w:t>
      </w:r>
      <w:r>
        <w:rPr>
          <w:rFonts w:ascii="Book Antiqua" w:hAnsi="Book Antiqua"/>
          <w:sz w:val="28"/>
          <w:szCs w:val="28"/>
        </w:rPr>
        <w:t xml:space="preserve"> es capaz de actualizar su normativa</w:t>
      </w:r>
      <w:r w:rsidRPr="006E61DB">
        <w:rPr>
          <w:rFonts w:ascii="Book Antiqua" w:hAnsi="Book Antiqua"/>
          <w:sz w:val="28"/>
          <w:szCs w:val="28"/>
        </w:rPr>
        <w:t xml:space="preserve"> puede ser una gran Unión. </w:t>
      </w:r>
    </w:p>
    <w:p w14:paraId="1313FBBB" w14:textId="77777777" w:rsidR="004A00AB" w:rsidRPr="006E61DB" w:rsidRDefault="004A00AB" w:rsidP="004A00AB">
      <w:pPr>
        <w:pStyle w:val="Textonotapie"/>
        <w:spacing w:before="120" w:after="120"/>
        <w:rPr>
          <w:rFonts w:ascii="Book Antiqua" w:hAnsi="Book Antiqua" w:cs="Arial"/>
          <w:sz w:val="28"/>
          <w:szCs w:val="28"/>
        </w:rPr>
      </w:pPr>
    </w:p>
    <w:p w14:paraId="00ACF78D" w14:textId="77777777" w:rsidR="004A00AB" w:rsidRPr="006E61DB" w:rsidRDefault="004A00AB" w:rsidP="004A00AB">
      <w:pPr>
        <w:pStyle w:val="Textonotapie"/>
        <w:spacing w:before="120" w:after="120"/>
        <w:rPr>
          <w:rFonts w:ascii="Book Antiqua" w:hAnsi="Book Antiqua" w:cs="Arial"/>
          <w:sz w:val="28"/>
          <w:szCs w:val="28"/>
        </w:rPr>
      </w:pPr>
    </w:p>
    <w:p w14:paraId="06A17BB2" w14:textId="77777777" w:rsidR="004A00AB" w:rsidRDefault="004A00AB" w:rsidP="004A00AB">
      <w:pPr>
        <w:pStyle w:val="Textonotapie"/>
        <w:spacing w:before="120" w:after="120"/>
        <w:rPr>
          <w:rFonts w:ascii="Book Antiqua" w:hAnsi="Book Antiqua" w:cs="Arial"/>
          <w:sz w:val="28"/>
          <w:szCs w:val="28"/>
        </w:rPr>
      </w:pPr>
    </w:p>
    <w:p w14:paraId="7C131A3A" w14:textId="77777777" w:rsidR="004A00AB" w:rsidRDefault="004A00AB" w:rsidP="004A00AB">
      <w:pPr>
        <w:pStyle w:val="Textonotapie"/>
        <w:spacing w:before="120" w:after="120"/>
        <w:rPr>
          <w:rFonts w:ascii="Book Antiqua" w:hAnsi="Book Antiqua" w:cs="Arial"/>
          <w:sz w:val="28"/>
          <w:szCs w:val="28"/>
        </w:rPr>
      </w:pPr>
    </w:p>
    <w:p w14:paraId="03E2221C"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 xml:space="preserve">V.- Bibliografía. </w:t>
      </w:r>
    </w:p>
    <w:p w14:paraId="15434A24" w14:textId="77777777" w:rsidR="004A00AB" w:rsidRPr="006E61DB" w:rsidRDefault="004A00AB" w:rsidP="004A00AB">
      <w:pPr>
        <w:pStyle w:val="Textonotapie"/>
        <w:spacing w:before="120" w:after="120"/>
        <w:rPr>
          <w:rFonts w:ascii="Book Antiqua" w:hAnsi="Book Antiqua" w:cs="Arial"/>
          <w:sz w:val="28"/>
          <w:szCs w:val="28"/>
        </w:rPr>
      </w:pPr>
    </w:p>
    <w:p w14:paraId="518002DF" w14:textId="77777777" w:rsidR="004A00AB" w:rsidRPr="006E61DB" w:rsidRDefault="004A00AB" w:rsidP="004A00AB">
      <w:pPr>
        <w:pStyle w:val="Textonotapie"/>
        <w:spacing w:before="120" w:after="120"/>
        <w:rPr>
          <w:rFonts w:ascii="Book Antiqua" w:hAnsi="Book Antiqua" w:cs="Arial"/>
          <w:sz w:val="28"/>
          <w:szCs w:val="28"/>
        </w:rPr>
      </w:pPr>
      <w:proofErr w:type="spellStart"/>
      <w:r w:rsidRPr="006E61DB">
        <w:rPr>
          <w:rFonts w:ascii="Book Antiqua" w:hAnsi="Book Antiqua" w:cs="Arial"/>
          <w:sz w:val="28"/>
          <w:szCs w:val="28"/>
        </w:rPr>
        <w:t>AMARELLI</w:t>
      </w:r>
      <w:proofErr w:type="spellEnd"/>
      <w:r w:rsidRPr="006E61DB">
        <w:rPr>
          <w:rFonts w:ascii="Book Antiqua" w:hAnsi="Book Antiqua" w:cs="Arial"/>
          <w:sz w:val="28"/>
          <w:szCs w:val="28"/>
        </w:rPr>
        <w:t>, F.</w:t>
      </w:r>
      <w:r w:rsidRPr="006E61DB">
        <w:rPr>
          <w:rFonts w:ascii="Book Antiqua" w:hAnsi="Book Antiqua" w:cs="Arial"/>
          <w:i/>
          <w:sz w:val="28"/>
          <w:szCs w:val="28"/>
        </w:rPr>
        <w:t xml:space="preserve">, Locus </w:t>
      </w:r>
      <w:proofErr w:type="spellStart"/>
      <w:r w:rsidRPr="006E61DB">
        <w:rPr>
          <w:rFonts w:ascii="Book Antiqua" w:hAnsi="Book Antiqua" w:cs="Arial"/>
          <w:i/>
          <w:sz w:val="28"/>
          <w:szCs w:val="28"/>
        </w:rPr>
        <w:t>solutionis</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Contributo</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alla</w:t>
      </w:r>
      <w:proofErr w:type="spellEnd"/>
      <w:r w:rsidRPr="006E61DB">
        <w:rPr>
          <w:rFonts w:ascii="Book Antiqua" w:hAnsi="Book Antiqua" w:cs="Arial"/>
          <w:i/>
          <w:sz w:val="28"/>
          <w:szCs w:val="28"/>
        </w:rPr>
        <w:t xml:space="preserve"> teoría del </w:t>
      </w:r>
      <w:proofErr w:type="spellStart"/>
      <w:r w:rsidRPr="006E61DB">
        <w:rPr>
          <w:rFonts w:ascii="Book Antiqua" w:hAnsi="Book Antiqua" w:cs="Arial"/>
          <w:i/>
          <w:sz w:val="28"/>
          <w:szCs w:val="28"/>
        </w:rPr>
        <w:t>luogo</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dell´adempimento</w:t>
      </w:r>
      <w:proofErr w:type="spellEnd"/>
      <w:r w:rsidRPr="006E61DB">
        <w:rPr>
          <w:rFonts w:ascii="Book Antiqua" w:hAnsi="Book Antiqua" w:cs="Arial"/>
          <w:i/>
          <w:sz w:val="28"/>
          <w:szCs w:val="28"/>
        </w:rPr>
        <w:t xml:space="preserve"> in </w:t>
      </w:r>
      <w:proofErr w:type="spellStart"/>
      <w:r w:rsidRPr="006E61DB">
        <w:rPr>
          <w:rFonts w:ascii="Book Antiqua" w:hAnsi="Book Antiqua" w:cs="Arial"/>
          <w:i/>
          <w:sz w:val="28"/>
          <w:szCs w:val="28"/>
        </w:rPr>
        <w:t>Diritto</w:t>
      </w:r>
      <w:proofErr w:type="spellEnd"/>
      <w:r w:rsidRPr="006E61DB">
        <w:rPr>
          <w:rFonts w:ascii="Book Antiqua" w:hAnsi="Book Antiqua" w:cs="Arial"/>
          <w:i/>
          <w:sz w:val="28"/>
          <w:szCs w:val="28"/>
        </w:rPr>
        <w:t xml:space="preserve"> romano</w:t>
      </w:r>
      <w:r w:rsidRPr="006E61DB">
        <w:rPr>
          <w:rFonts w:ascii="Book Antiqua" w:hAnsi="Book Antiqua" w:cs="Arial"/>
          <w:sz w:val="28"/>
          <w:szCs w:val="28"/>
        </w:rPr>
        <w:t>, Milán, 1984.</w:t>
      </w:r>
    </w:p>
    <w:p w14:paraId="36FAFCE7" w14:textId="77777777" w:rsidR="004A00AB" w:rsidRPr="006E61DB" w:rsidRDefault="004A00AB" w:rsidP="004A00AB">
      <w:pPr>
        <w:spacing w:before="120" w:after="120"/>
        <w:jc w:val="both"/>
        <w:textAlignment w:val="baseline"/>
        <w:rPr>
          <w:rFonts w:ascii="Book Antiqua" w:eastAsia="Times New Roman" w:hAnsi="Book Antiqua"/>
          <w:sz w:val="28"/>
          <w:szCs w:val="28"/>
        </w:rPr>
      </w:pPr>
      <w:proofErr w:type="spellStart"/>
      <w:r w:rsidRPr="006E61DB">
        <w:rPr>
          <w:rFonts w:ascii="Book Antiqua" w:hAnsi="Book Antiqua"/>
          <w:sz w:val="28"/>
          <w:szCs w:val="28"/>
        </w:rPr>
        <w:t>ANKUM</w:t>
      </w:r>
      <w:proofErr w:type="spellEnd"/>
      <w:r w:rsidRPr="006E61DB">
        <w:rPr>
          <w:rFonts w:ascii="Book Antiqua" w:hAnsi="Book Antiqua"/>
          <w:sz w:val="28"/>
          <w:szCs w:val="28"/>
        </w:rPr>
        <w:t xml:space="preserve">, H., </w:t>
      </w:r>
      <w:r w:rsidRPr="006E61DB">
        <w:rPr>
          <w:rFonts w:ascii="Book Antiqua" w:hAnsi="Book Antiqua"/>
          <w:i/>
          <w:iCs/>
          <w:sz w:val="28"/>
          <w:szCs w:val="28"/>
        </w:rPr>
        <w:t xml:space="preserve">“La </w:t>
      </w:r>
      <w:proofErr w:type="spellStart"/>
      <w:r w:rsidRPr="006E61DB">
        <w:rPr>
          <w:rFonts w:ascii="Book Antiqua" w:hAnsi="Book Antiqua"/>
          <w:i/>
          <w:iCs/>
          <w:sz w:val="28"/>
          <w:szCs w:val="28"/>
        </w:rPr>
        <w:t>actio</w:t>
      </w:r>
      <w:proofErr w:type="spellEnd"/>
      <w:r w:rsidRPr="006E61DB">
        <w:rPr>
          <w:rFonts w:ascii="Book Antiqua" w:hAnsi="Book Antiqua"/>
          <w:i/>
          <w:iCs/>
          <w:sz w:val="28"/>
          <w:szCs w:val="28"/>
        </w:rPr>
        <w:t xml:space="preserve"> </w:t>
      </w:r>
      <w:proofErr w:type="spellStart"/>
      <w:r w:rsidRPr="006E61DB">
        <w:rPr>
          <w:rFonts w:ascii="Book Antiqua" w:hAnsi="Book Antiqua"/>
          <w:i/>
          <w:iCs/>
          <w:sz w:val="28"/>
          <w:szCs w:val="28"/>
        </w:rPr>
        <w:t>legis</w:t>
      </w:r>
      <w:proofErr w:type="spellEnd"/>
      <w:r w:rsidRPr="006E61DB">
        <w:rPr>
          <w:rFonts w:ascii="Book Antiqua" w:hAnsi="Book Antiqua"/>
          <w:i/>
          <w:iCs/>
          <w:sz w:val="28"/>
          <w:szCs w:val="28"/>
        </w:rPr>
        <w:t xml:space="preserve"> </w:t>
      </w:r>
      <w:proofErr w:type="spellStart"/>
      <w:r w:rsidRPr="006E61DB">
        <w:rPr>
          <w:rFonts w:ascii="Book Antiqua" w:hAnsi="Book Antiqua"/>
          <w:i/>
          <w:iCs/>
          <w:sz w:val="28"/>
          <w:szCs w:val="28"/>
        </w:rPr>
        <w:t>aquiliae</w:t>
      </w:r>
      <w:proofErr w:type="spellEnd"/>
      <w:r w:rsidRPr="006E61DB">
        <w:rPr>
          <w:rFonts w:ascii="Book Antiqua" w:hAnsi="Book Antiqua"/>
          <w:i/>
          <w:iCs/>
          <w:sz w:val="28"/>
          <w:szCs w:val="28"/>
        </w:rPr>
        <w:t>”</w:t>
      </w:r>
      <w:r w:rsidRPr="006E61DB">
        <w:rPr>
          <w:rFonts w:ascii="Book Antiqua" w:eastAsia="Times New Roman" w:hAnsi="Book Antiqua"/>
          <w:i/>
          <w:iCs/>
          <w:sz w:val="28"/>
          <w:szCs w:val="28"/>
        </w:rPr>
        <w:t>,</w:t>
      </w:r>
      <w:r w:rsidRPr="006E61DB">
        <w:rPr>
          <w:rFonts w:ascii="Book Antiqua" w:eastAsia="Times New Roman" w:hAnsi="Book Antiqua"/>
          <w:sz w:val="28"/>
          <w:szCs w:val="28"/>
        </w:rPr>
        <w:t xml:space="preserve"> </w:t>
      </w:r>
      <w:r>
        <w:rPr>
          <w:rFonts w:ascii="Book Antiqua" w:eastAsia="Times New Roman" w:hAnsi="Book Antiqua"/>
          <w:sz w:val="28"/>
          <w:szCs w:val="28"/>
        </w:rPr>
        <w:t>en</w:t>
      </w:r>
      <w:r w:rsidRPr="006E61DB">
        <w:rPr>
          <w:rFonts w:ascii="Book Antiqua" w:eastAsia="Times New Roman" w:hAnsi="Book Antiqua"/>
          <w:sz w:val="28"/>
          <w:szCs w:val="28"/>
        </w:rPr>
        <w:t> </w:t>
      </w:r>
      <w:hyperlink r:id="rId15" w:history="1">
        <w:r w:rsidRPr="006E61DB">
          <w:rPr>
            <w:rFonts w:ascii="Book Antiqua" w:eastAsia="Times New Roman" w:hAnsi="Book Antiqua"/>
            <w:i/>
            <w:iCs/>
            <w:sz w:val="28"/>
            <w:szCs w:val="28"/>
            <w:bdr w:val="none" w:sz="0" w:space="0" w:color="auto" w:frame="1"/>
          </w:rPr>
          <w:t>Revista jurídica de Asturias</w:t>
        </w:r>
      </w:hyperlink>
      <w:r w:rsidRPr="006E61DB">
        <w:rPr>
          <w:rFonts w:ascii="Book Antiqua" w:eastAsia="Times New Roman" w:hAnsi="Book Antiqua"/>
          <w:sz w:val="28"/>
          <w:szCs w:val="28"/>
          <w:bdr w:val="none" w:sz="0" w:space="0" w:color="auto" w:frame="1"/>
        </w:rPr>
        <w:t>, </w:t>
      </w:r>
      <w:proofErr w:type="spellStart"/>
      <w:r w:rsidR="00AB63CF">
        <w:fldChar w:fldCharType="begin"/>
      </w:r>
      <w:r w:rsidR="00AB63CF">
        <w:instrText xml:space="preserve"> HYPERLINK "https://dialnet.unirioja.es/ejemplar/297749" </w:instrText>
      </w:r>
      <w:r w:rsidR="00AB63CF">
        <w:fldChar w:fldCharType="separate"/>
      </w:r>
      <w:r w:rsidRPr="006E61DB">
        <w:rPr>
          <w:rFonts w:ascii="Book Antiqua" w:eastAsia="Times New Roman" w:hAnsi="Book Antiqua"/>
          <w:sz w:val="28"/>
          <w:szCs w:val="28"/>
          <w:bdr w:val="none" w:sz="0" w:space="0" w:color="auto" w:frame="1"/>
        </w:rPr>
        <w:t>nº</w:t>
      </w:r>
      <w:proofErr w:type="spellEnd"/>
      <w:r w:rsidRPr="006E61DB">
        <w:rPr>
          <w:rFonts w:ascii="Book Antiqua" w:eastAsia="Times New Roman" w:hAnsi="Book Antiqua"/>
          <w:sz w:val="28"/>
          <w:szCs w:val="28"/>
          <w:bdr w:val="none" w:sz="0" w:space="0" w:color="auto" w:frame="1"/>
        </w:rPr>
        <w:t xml:space="preserve"> 10-11, 1987-1988</w:t>
      </w:r>
      <w:r w:rsidR="00AB63CF">
        <w:rPr>
          <w:rFonts w:ascii="Book Antiqua" w:eastAsia="Times New Roman" w:hAnsi="Book Antiqua"/>
          <w:sz w:val="28"/>
          <w:szCs w:val="28"/>
          <w:bdr w:val="none" w:sz="0" w:space="0" w:color="auto" w:frame="1"/>
        </w:rPr>
        <w:fldChar w:fldCharType="end"/>
      </w:r>
      <w:r w:rsidRPr="006E61DB">
        <w:rPr>
          <w:rFonts w:ascii="Book Antiqua" w:eastAsia="Times New Roman" w:hAnsi="Book Antiqua"/>
          <w:sz w:val="28"/>
          <w:szCs w:val="28"/>
          <w:bdr w:val="none" w:sz="0" w:space="0" w:color="auto" w:frame="1"/>
        </w:rPr>
        <w:t>.</w:t>
      </w:r>
      <w:r>
        <w:rPr>
          <w:rFonts w:ascii="Book Antiqua" w:eastAsia="Times New Roman" w:hAnsi="Book Antiqua"/>
          <w:sz w:val="28"/>
          <w:szCs w:val="28"/>
          <w:bdr w:val="none" w:sz="0" w:space="0" w:color="auto" w:frame="1"/>
        </w:rPr>
        <w:t xml:space="preserve"> </w:t>
      </w:r>
    </w:p>
    <w:p w14:paraId="55C5063B" w14:textId="77777777" w:rsidR="004A00AB" w:rsidRPr="00D14817" w:rsidRDefault="004A00AB" w:rsidP="004A00AB">
      <w:pPr>
        <w:pStyle w:val="Textonotapie"/>
        <w:spacing w:before="120" w:after="120"/>
        <w:rPr>
          <w:rFonts w:ascii="Book Antiqua" w:hAnsi="Book Antiqua" w:cs="Arial"/>
          <w:sz w:val="28"/>
          <w:szCs w:val="28"/>
        </w:rPr>
      </w:pPr>
      <w:proofErr w:type="spellStart"/>
      <w:r w:rsidRPr="006E61DB">
        <w:rPr>
          <w:rFonts w:ascii="Book Antiqua" w:hAnsi="Book Antiqua" w:cs="Arial"/>
          <w:sz w:val="28"/>
          <w:szCs w:val="28"/>
          <w:lang w:val="en-US"/>
        </w:rPr>
        <w:t>BETHMANN-HOLWEG</w:t>
      </w:r>
      <w:proofErr w:type="spellEnd"/>
      <w:r w:rsidRPr="006E61DB">
        <w:rPr>
          <w:rFonts w:ascii="Book Antiqua" w:hAnsi="Book Antiqua" w:cs="Arial"/>
          <w:sz w:val="28"/>
          <w:szCs w:val="28"/>
          <w:lang w:val="en-US"/>
        </w:rPr>
        <w:t xml:space="preserve">, M., </w:t>
      </w:r>
      <w:r w:rsidRPr="006E61DB">
        <w:rPr>
          <w:rFonts w:ascii="Book Antiqua" w:hAnsi="Book Antiqua" w:cs="Arial"/>
          <w:i/>
          <w:iCs/>
          <w:sz w:val="28"/>
          <w:szCs w:val="28"/>
          <w:lang w:val="en-US"/>
        </w:rPr>
        <w:t xml:space="preserve">Der </w:t>
      </w:r>
      <w:proofErr w:type="spellStart"/>
      <w:r w:rsidRPr="006E61DB">
        <w:rPr>
          <w:rFonts w:ascii="Book Antiqua" w:hAnsi="Book Antiqua" w:cs="Arial"/>
          <w:i/>
          <w:iCs/>
          <w:sz w:val="28"/>
          <w:szCs w:val="28"/>
          <w:lang w:val="en-US"/>
        </w:rPr>
        <w:t>röm</w:t>
      </w:r>
      <w:proofErr w:type="spellEnd"/>
      <w:r w:rsidRPr="006E61DB">
        <w:rPr>
          <w:rFonts w:ascii="Book Antiqua" w:hAnsi="Book Antiqua" w:cs="Arial"/>
          <w:i/>
          <w:iCs/>
          <w:sz w:val="28"/>
          <w:szCs w:val="28"/>
          <w:lang w:val="en-US"/>
        </w:rPr>
        <w:t xml:space="preserve">. </w:t>
      </w:r>
      <w:proofErr w:type="spellStart"/>
      <w:r w:rsidRPr="00D14817">
        <w:rPr>
          <w:rFonts w:ascii="Book Antiqua" w:hAnsi="Book Antiqua" w:cs="Arial"/>
          <w:i/>
          <w:iCs/>
          <w:sz w:val="28"/>
          <w:szCs w:val="28"/>
        </w:rPr>
        <w:t>Zivilprozess</w:t>
      </w:r>
      <w:proofErr w:type="spellEnd"/>
      <w:r w:rsidRPr="00D14817">
        <w:rPr>
          <w:rFonts w:ascii="Book Antiqua" w:hAnsi="Book Antiqua" w:cs="Arial"/>
          <w:sz w:val="28"/>
          <w:szCs w:val="28"/>
        </w:rPr>
        <w:t xml:space="preserve">, II, Bonn, 1865. </w:t>
      </w:r>
    </w:p>
    <w:p w14:paraId="028CD6E2" w14:textId="77777777" w:rsidR="004A00AB" w:rsidRPr="006E61DB" w:rsidRDefault="004A00AB" w:rsidP="004A00AB">
      <w:pPr>
        <w:shd w:val="clear" w:color="auto" w:fill="FFFFFF"/>
        <w:spacing w:before="120" w:after="120"/>
        <w:jc w:val="both"/>
        <w:textAlignment w:val="baseline"/>
        <w:rPr>
          <w:rFonts w:ascii="Book Antiqua" w:hAnsi="Book Antiqua"/>
          <w:sz w:val="28"/>
          <w:szCs w:val="28"/>
        </w:rPr>
      </w:pPr>
      <w:proofErr w:type="spellStart"/>
      <w:r w:rsidRPr="006E61DB">
        <w:rPr>
          <w:rFonts w:ascii="Book Antiqua" w:hAnsi="Book Antiqua"/>
          <w:sz w:val="28"/>
          <w:szCs w:val="28"/>
        </w:rPr>
        <w:t>CAPOGROSSI</w:t>
      </w:r>
      <w:proofErr w:type="spellEnd"/>
      <w:r w:rsidRPr="006E61DB">
        <w:rPr>
          <w:rFonts w:ascii="Book Antiqua" w:hAnsi="Book Antiqua"/>
          <w:sz w:val="28"/>
          <w:szCs w:val="28"/>
        </w:rPr>
        <w:t xml:space="preserve"> </w:t>
      </w:r>
      <w:proofErr w:type="spellStart"/>
      <w:r w:rsidRPr="006E61DB">
        <w:rPr>
          <w:rFonts w:ascii="Book Antiqua" w:hAnsi="Book Antiqua"/>
          <w:sz w:val="28"/>
          <w:szCs w:val="28"/>
        </w:rPr>
        <w:t>COLOGNESI</w:t>
      </w:r>
      <w:proofErr w:type="spellEnd"/>
      <w:r w:rsidRPr="006E61DB">
        <w:rPr>
          <w:rFonts w:ascii="Book Antiqua" w:hAnsi="Book Antiqua"/>
          <w:sz w:val="28"/>
          <w:szCs w:val="28"/>
        </w:rPr>
        <w:t>, L., “</w:t>
      </w:r>
      <w:proofErr w:type="spellStart"/>
      <w:r w:rsidRPr="006E61DB">
        <w:rPr>
          <w:rFonts w:ascii="Book Antiqua" w:hAnsi="Book Antiqua"/>
          <w:iCs/>
          <w:sz w:val="28"/>
          <w:szCs w:val="28"/>
        </w:rPr>
        <w:t>Riflessioni</w:t>
      </w:r>
      <w:proofErr w:type="spellEnd"/>
      <w:r w:rsidRPr="006E61DB">
        <w:rPr>
          <w:rFonts w:ascii="Book Antiqua" w:hAnsi="Book Antiqua"/>
          <w:iCs/>
          <w:sz w:val="28"/>
          <w:szCs w:val="28"/>
        </w:rPr>
        <w:t xml:space="preserve"> su i “</w:t>
      </w:r>
      <w:proofErr w:type="spellStart"/>
      <w:r w:rsidRPr="006E61DB">
        <w:rPr>
          <w:rFonts w:ascii="Book Antiqua" w:hAnsi="Book Antiqua"/>
          <w:iCs/>
          <w:sz w:val="28"/>
          <w:szCs w:val="28"/>
        </w:rPr>
        <w:t>fondamenti</w:t>
      </w:r>
      <w:proofErr w:type="spellEnd"/>
      <w:r w:rsidRPr="006E61DB">
        <w:rPr>
          <w:rFonts w:ascii="Book Antiqua" w:hAnsi="Book Antiqua"/>
          <w:iCs/>
          <w:sz w:val="28"/>
          <w:szCs w:val="28"/>
        </w:rPr>
        <w:t xml:space="preserve"> del </w:t>
      </w:r>
      <w:proofErr w:type="spellStart"/>
      <w:r w:rsidRPr="006E61DB">
        <w:rPr>
          <w:rFonts w:ascii="Book Antiqua" w:hAnsi="Book Antiqua"/>
          <w:iCs/>
          <w:sz w:val="28"/>
          <w:szCs w:val="28"/>
        </w:rPr>
        <w:t>diritto</w:t>
      </w:r>
      <w:proofErr w:type="spellEnd"/>
      <w:r w:rsidRPr="006E61DB">
        <w:rPr>
          <w:rFonts w:ascii="Book Antiqua" w:hAnsi="Book Antiqua"/>
          <w:iCs/>
          <w:sz w:val="28"/>
          <w:szCs w:val="28"/>
        </w:rPr>
        <w:t xml:space="preserve"> europeo”: una </w:t>
      </w:r>
      <w:proofErr w:type="spellStart"/>
      <w:r w:rsidRPr="006E61DB">
        <w:rPr>
          <w:rFonts w:ascii="Book Antiqua" w:hAnsi="Book Antiqua"/>
          <w:iCs/>
          <w:sz w:val="28"/>
          <w:szCs w:val="28"/>
        </w:rPr>
        <w:t>ocassione</w:t>
      </w:r>
      <w:proofErr w:type="spellEnd"/>
      <w:r w:rsidRPr="006E61DB">
        <w:rPr>
          <w:rFonts w:ascii="Book Antiqua" w:hAnsi="Book Antiqua"/>
          <w:iCs/>
          <w:sz w:val="28"/>
          <w:szCs w:val="28"/>
        </w:rPr>
        <w:t xml:space="preserve"> da non </w:t>
      </w:r>
      <w:proofErr w:type="spellStart"/>
      <w:r w:rsidRPr="006E61DB">
        <w:rPr>
          <w:rFonts w:ascii="Book Antiqua" w:hAnsi="Book Antiqua"/>
          <w:iCs/>
          <w:sz w:val="28"/>
          <w:szCs w:val="28"/>
        </w:rPr>
        <w:t>sprecare</w:t>
      </w:r>
      <w:proofErr w:type="spellEnd"/>
      <w:r w:rsidRPr="006E61DB">
        <w:rPr>
          <w:rFonts w:ascii="Book Antiqua" w:hAnsi="Book Antiqua"/>
          <w:iCs/>
          <w:sz w:val="28"/>
          <w:szCs w:val="28"/>
        </w:rPr>
        <w:t>”,</w:t>
      </w:r>
      <w:r w:rsidRPr="006E61DB">
        <w:rPr>
          <w:rFonts w:ascii="Book Antiqua" w:hAnsi="Book Antiqua"/>
          <w:sz w:val="28"/>
          <w:szCs w:val="28"/>
        </w:rPr>
        <w:t xml:space="preserve"> en </w:t>
      </w:r>
      <w:proofErr w:type="spellStart"/>
      <w:r w:rsidRPr="006E61DB">
        <w:rPr>
          <w:rFonts w:ascii="Book Antiqua" w:hAnsi="Book Antiqua"/>
          <w:i/>
          <w:iCs/>
          <w:sz w:val="28"/>
          <w:szCs w:val="28"/>
        </w:rPr>
        <w:t>IVRA</w:t>
      </w:r>
      <w:proofErr w:type="spellEnd"/>
      <w:r w:rsidRPr="006E61DB">
        <w:rPr>
          <w:rFonts w:ascii="Book Antiqua" w:hAnsi="Book Antiqua"/>
          <w:i/>
          <w:iCs/>
          <w:sz w:val="28"/>
          <w:szCs w:val="28"/>
        </w:rPr>
        <w:t>,</w:t>
      </w:r>
      <w:r w:rsidRPr="006E61DB">
        <w:rPr>
          <w:rFonts w:ascii="Book Antiqua" w:hAnsi="Book Antiqua"/>
          <w:sz w:val="28"/>
          <w:szCs w:val="28"/>
        </w:rPr>
        <w:t xml:space="preserve"> 51 (2003). </w:t>
      </w:r>
    </w:p>
    <w:p w14:paraId="701C6095"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CARRASCOSA GONZÁLEZ, J., “</w:t>
      </w:r>
      <w:r w:rsidRPr="006E61DB">
        <w:rPr>
          <w:rFonts w:ascii="Book Antiqua" w:hAnsi="Book Antiqua" w:cs="Arial"/>
          <w:iCs/>
          <w:sz w:val="28"/>
          <w:szCs w:val="28"/>
        </w:rPr>
        <w:t xml:space="preserve">Foro del domicilio del demandado y Reglamento Bruselas `I-Bis 1215/2012´. Análisis crítico de la regla actor </w:t>
      </w:r>
      <w:proofErr w:type="spellStart"/>
      <w:r w:rsidRPr="006E61DB">
        <w:rPr>
          <w:rFonts w:ascii="Book Antiqua" w:hAnsi="Book Antiqua" w:cs="Arial"/>
          <w:i/>
          <w:iCs/>
          <w:sz w:val="28"/>
          <w:szCs w:val="28"/>
        </w:rPr>
        <w:t>sequitur</w:t>
      </w:r>
      <w:proofErr w:type="spellEnd"/>
      <w:r w:rsidRPr="006E61DB">
        <w:rPr>
          <w:rFonts w:ascii="Book Antiqua" w:hAnsi="Book Antiqua" w:cs="Arial"/>
          <w:i/>
          <w:iCs/>
          <w:sz w:val="28"/>
          <w:szCs w:val="28"/>
        </w:rPr>
        <w:t xml:space="preserve"> </w:t>
      </w:r>
      <w:proofErr w:type="spellStart"/>
      <w:r w:rsidRPr="006E61DB">
        <w:rPr>
          <w:rFonts w:ascii="Book Antiqua" w:hAnsi="Book Antiqua" w:cs="Arial"/>
          <w:i/>
          <w:iCs/>
          <w:sz w:val="28"/>
          <w:szCs w:val="28"/>
        </w:rPr>
        <w:t>forum</w:t>
      </w:r>
      <w:proofErr w:type="spellEnd"/>
      <w:r w:rsidRPr="006E61DB">
        <w:rPr>
          <w:rFonts w:ascii="Book Antiqua" w:hAnsi="Book Antiqua" w:cs="Arial"/>
          <w:i/>
          <w:iCs/>
          <w:sz w:val="28"/>
          <w:szCs w:val="28"/>
        </w:rPr>
        <w:t xml:space="preserve"> </w:t>
      </w:r>
      <w:proofErr w:type="spellStart"/>
      <w:r w:rsidRPr="006E61DB">
        <w:rPr>
          <w:rFonts w:ascii="Book Antiqua" w:hAnsi="Book Antiqua" w:cs="Arial"/>
          <w:iCs/>
          <w:sz w:val="28"/>
          <w:szCs w:val="28"/>
        </w:rPr>
        <w:t>rei</w:t>
      </w:r>
      <w:proofErr w:type="spellEnd"/>
      <w:r w:rsidRPr="006E61DB">
        <w:rPr>
          <w:rFonts w:ascii="Book Antiqua" w:hAnsi="Book Antiqua" w:cs="Arial"/>
          <w:iCs/>
          <w:sz w:val="28"/>
          <w:szCs w:val="28"/>
        </w:rPr>
        <w:t>,”</w:t>
      </w:r>
      <w:r w:rsidRPr="006E61DB">
        <w:rPr>
          <w:rFonts w:ascii="Book Antiqua" w:hAnsi="Book Antiqua" w:cs="Arial"/>
          <w:sz w:val="28"/>
          <w:szCs w:val="28"/>
        </w:rPr>
        <w:t xml:space="preserve"> </w:t>
      </w:r>
      <w:r>
        <w:rPr>
          <w:rFonts w:ascii="Book Antiqua" w:hAnsi="Book Antiqua" w:cs="Arial"/>
          <w:sz w:val="28"/>
          <w:szCs w:val="28"/>
        </w:rPr>
        <w:t xml:space="preserve">en </w:t>
      </w:r>
      <w:r w:rsidRPr="00D930BB">
        <w:rPr>
          <w:rFonts w:ascii="Book Antiqua" w:hAnsi="Book Antiqua" w:cs="Arial"/>
          <w:i/>
          <w:sz w:val="28"/>
          <w:szCs w:val="28"/>
        </w:rPr>
        <w:t>Cuadernos de Derecho Internacional</w:t>
      </w:r>
      <w:r w:rsidRPr="006E61DB">
        <w:rPr>
          <w:rFonts w:ascii="Book Antiqua" w:hAnsi="Book Antiqua" w:cs="Arial"/>
          <w:sz w:val="28"/>
          <w:szCs w:val="28"/>
        </w:rPr>
        <w:t xml:space="preserve"> (marzo 2019), Vol. 11, nº1. </w:t>
      </w:r>
    </w:p>
    <w:p w14:paraId="0BB23516" w14:textId="77777777" w:rsidR="004A00AB" w:rsidRPr="006E61DB" w:rsidRDefault="004A00AB" w:rsidP="004A00AB">
      <w:pPr>
        <w:shd w:val="clear" w:color="auto" w:fill="FFFFFF"/>
        <w:spacing w:before="120" w:after="120"/>
        <w:jc w:val="both"/>
        <w:textAlignment w:val="baseline"/>
        <w:rPr>
          <w:rFonts w:ascii="Book Antiqua" w:hAnsi="Book Antiqua"/>
          <w:sz w:val="28"/>
          <w:szCs w:val="28"/>
        </w:rPr>
      </w:pPr>
      <w:r w:rsidRPr="006E61DB">
        <w:rPr>
          <w:rFonts w:ascii="Book Antiqua" w:hAnsi="Book Antiqua"/>
          <w:sz w:val="28"/>
          <w:szCs w:val="28"/>
        </w:rPr>
        <w:t xml:space="preserve">CASTRESANA HERRERO, A., </w:t>
      </w:r>
      <w:r w:rsidRPr="006E61DB">
        <w:rPr>
          <w:rFonts w:ascii="Book Antiqua" w:hAnsi="Book Antiqua"/>
          <w:i/>
          <w:sz w:val="28"/>
          <w:szCs w:val="28"/>
        </w:rPr>
        <w:t>Derecho Romano y Europa</w:t>
      </w:r>
      <w:r w:rsidRPr="006E61DB">
        <w:rPr>
          <w:rFonts w:ascii="Book Antiqua" w:hAnsi="Book Antiqua"/>
          <w:sz w:val="28"/>
          <w:szCs w:val="28"/>
        </w:rPr>
        <w:t xml:space="preserve">, Santiago de Chile, 2019. </w:t>
      </w:r>
    </w:p>
    <w:p w14:paraId="4EAB4843" w14:textId="77777777" w:rsidR="004A00AB" w:rsidRPr="006E61DB" w:rsidRDefault="004A00AB" w:rsidP="004A00AB">
      <w:pPr>
        <w:pStyle w:val="Textonotapie"/>
        <w:spacing w:before="120" w:after="120"/>
        <w:rPr>
          <w:rFonts w:ascii="Book Antiqua" w:hAnsi="Book Antiqua" w:cs="Arial"/>
          <w:i/>
          <w:sz w:val="28"/>
          <w:szCs w:val="28"/>
        </w:rPr>
      </w:pPr>
      <w:proofErr w:type="spellStart"/>
      <w:r w:rsidRPr="006E61DB">
        <w:rPr>
          <w:rFonts w:ascii="Book Antiqua" w:hAnsi="Book Antiqua" w:cs="Arial"/>
          <w:sz w:val="28"/>
          <w:szCs w:val="28"/>
        </w:rPr>
        <w:t>COING</w:t>
      </w:r>
      <w:proofErr w:type="spellEnd"/>
      <w:r w:rsidRPr="006E61DB">
        <w:rPr>
          <w:rFonts w:ascii="Book Antiqua" w:hAnsi="Book Antiqua" w:cs="Arial"/>
          <w:sz w:val="28"/>
          <w:szCs w:val="28"/>
        </w:rPr>
        <w:t xml:space="preserve">, H., </w:t>
      </w:r>
      <w:r w:rsidRPr="006E61DB">
        <w:rPr>
          <w:rFonts w:ascii="Book Antiqua" w:hAnsi="Book Antiqua" w:cs="Arial"/>
          <w:i/>
          <w:sz w:val="28"/>
          <w:szCs w:val="28"/>
        </w:rPr>
        <w:t>Derecho Privado Romano</w:t>
      </w:r>
      <w:r w:rsidRPr="006E61DB">
        <w:rPr>
          <w:rFonts w:ascii="Book Antiqua" w:hAnsi="Book Antiqua" w:cs="Arial"/>
          <w:sz w:val="28"/>
          <w:szCs w:val="28"/>
        </w:rPr>
        <w:t xml:space="preserve">, II, (trad. A. Pérez Martín), Madrid, 1989.  </w:t>
      </w:r>
    </w:p>
    <w:p w14:paraId="1BFFFFD1"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REDONDO TRIGO, F.</w:t>
      </w:r>
      <w:r w:rsidRPr="006E61DB">
        <w:rPr>
          <w:rFonts w:ascii="Book Antiqua" w:hAnsi="Book Antiqua" w:cs="Arial"/>
          <w:i/>
          <w:sz w:val="28"/>
          <w:szCs w:val="28"/>
        </w:rPr>
        <w:t>, “</w:t>
      </w:r>
      <w:r w:rsidRPr="006E61DB">
        <w:rPr>
          <w:rFonts w:ascii="Book Antiqua" w:hAnsi="Book Antiqua" w:cs="Arial"/>
          <w:iCs/>
          <w:sz w:val="28"/>
          <w:szCs w:val="28"/>
        </w:rPr>
        <w:t xml:space="preserve">De los Principios </w:t>
      </w:r>
      <w:proofErr w:type="spellStart"/>
      <w:r w:rsidRPr="006E61DB">
        <w:rPr>
          <w:rFonts w:ascii="Book Antiqua" w:hAnsi="Book Antiqua" w:cs="Arial"/>
          <w:iCs/>
          <w:sz w:val="28"/>
          <w:szCs w:val="28"/>
        </w:rPr>
        <w:t>Lando</w:t>
      </w:r>
      <w:proofErr w:type="spellEnd"/>
      <w:r w:rsidRPr="006E61DB">
        <w:rPr>
          <w:rFonts w:ascii="Book Antiqua" w:hAnsi="Book Antiqua" w:cs="Arial"/>
          <w:iCs/>
          <w:sz w:val="28"/>
          <w:szCs w:val="28"/>
        </w:rPr>
        <w:t xml:space="preserve"> al marco común de referencia del Derecho Privado Europeo. Hacia un nuevo ius </w:t>
      </w:r>
      <w:proofErr w:type="spellStart"/>
      <w:r w:rsidRPr="006E61DB">
        <w:rPr>
          <w:rFonts w:ascii="Book Antiqua" w:hAnsi="Book Antiqua" w:cs="Arial"/>
          <w:iCs/>
          <w:sz w:val="28"/>
          <w:szCs w:val="28"/>
        </w:rPr>
        <w:t>commune</w:t>
      </w:r>
      <w:proofErr w:type="spellEnd"/>
      <w:r w:rsidRPr="006E61DB">
        <w:rPr>
          <w:rFonts w:ascii="Book Antiqua" w:hAnsi="Book Antiqua" w:cs="Arial"/>
          <w:iCs/>
          <w:sz w:val="28"/>
          <w:szCs w:val="28"/>
        </w:rPr>
        <w:t xml:space="preserve">”, </w:t>
      </w:r>
      <w:r>
        <w:rPr>
          <w:rFonts w:ascii="Book Antiqua" w:hAnsi="Book Antiqua" w:cs="Arial"/>
          <w:iCs/>
          <w:sz w:val="28"/>
          <w:szCs w:val="28"/>
        </w:rPr>
        <w:t xml:space="preserve">en </w:t>
      </w:r>
      <w:proofErr w:type="spellStart"/>
      <w:r w:rsidRPr="006E61DB">
        <w:rPr>
          <w:rFonts w:ascii="Book Antiqua" w:hAnsi="Book Antiqua" w:cs="Arial"/>
          <w:i/>
          <w:iCs/>
          <w:sz w:val="28"/>
          <w:szCs w:val="28"/>
        </w:rPr>
        <w:t>ADC</w:t>
      </w:r>
      <w:proofErr w:type="spellEnd"/>
      <w:r w:rsidRPr="006E61DB">
        <w:rPr>
          <w:rFonts w:ascii="Book Antiqua" w:hAnsi="Book Antiqua" w:cs="Arial"/>
          <w:i/>
          <w:iCs/>
          <w:sz w:val="28"/>
          <w:szCs w:val="28"/>
        </w:rPr>
        <w:t>,</w:t>
      </w:r>
      <w:r w:rsidRPr="006E61DB">
        <w:rPr>
          <w:rFonts w:ascii="Book Antiqua" w:hAnsi="Book Antiqua" w:cs="Arial"/>
          <w:sz w:val="28"/>
          <w:szCs w:val="28"/>
        </w:rPr>
        <w:t xml:space="preserve"> </w:t>
      </w:r>
      <w:proofErr w:type="spellStart"/>
      <w:r w:rsidRPr="006E61DB">
        <w:rPr>
          <w:rFonts w:ascii="Book Antiqua" w:hAnsi="Book Antiqua" w:cs="Arial"/>
          <w:sz w:val="28"/>
          <w:szCs w:val="28"/>
        </w:rPr>
        <w:t>T.XIII</w:t>
      </w:r>
      <w:proofErr w:type="spellEnd"/>
      <w:r w:rsidRPr="006E61DB">
        <w:rPr>
          <w:rFonts w:ascii="Book Antiqua" w:hAnsi="Book Antiqua" w:cs="Arial"/>
          <w:sz w:val="28"/>
          <w:szCs w:val="28"/>
        </w:rPr>
        <w:t>, 2010, fasc. IV.</w:t>
      </w:r>
    </w:p>
    <w:p w14:paraId="4705C7B9"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 xml:space="preserve">DE MARTINO, F., </w:t>
      </w:r>
      <w:proofErr w:type="spellStart"/>
      <w:r w:rsidRPr="006E61DB">
        <w:rPr>
          <w:rFonts w:ascii="Book Antiqua" w:hAnsi="Book Antiqua" w:cs="Arial"/>
          <w:i/>
          <w:sz w:val="28"/>
          <w:szCs w:val="28"/>
        </w:rPr>
        <w:t>Storia</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della</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constituzione</w:t>
      </w:r>
      <w:proofErr w:type="spellEnd"/>
      <w:r w:rsidRPr="006E61DB">
        <w:rPr>
          <w:rFonts w:ascii="Book Antiqua" w:hAnsi="Book Antiqua" w:cs="Arial"/>
          <w:i/>
          <w:sz w:val="28"/>
          <w:szCs w:val="28"/>
        </w:rPr>
        <w:t xml:space="preserve"> romana</w:t>
      </w:r>
      <w:r w:rsidRPr="006E61DB">
        <w:rPr>
          <w:rFonts w:ascii="Book Antiqua" w:hAnsi="Book Antiqua" w:cs="Arial"/>
          <w:sz w:val="28"/>
          <w:szCs w:val="28"/>
        </w:rPr>
        <w:t>, Nápoles, 1966.</w:t>
      </w:r>
    </w:p>
    <w:p w14:paraId="43CBD308"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lastRenderedPageBreak/>
        <w:t>D</w:t>
      </w:r>
      <w:r>
        <w:rPr>
          <w:rFonts w:ascii="Book Antiqua" w:hAnsi="Book Antiqua" w:cs="Arial"/>
          <w:sz w:val="28"/>
          <w:szCs w:val="28"/>
        </w:rPr>
        <w:t>E</w:t>
      </w:r>
      <w:r w:rsidRPr="006E61DB">
        <w:rPr>
          <w:rFonts w:ascii="Book Antiqua" w:hAnsi="Book Antiqua" w:cs="Arial"/>
          <w:sz w:val="28"/>
          <w:szCs w:val="28"/>
        </w:rPr>
        <w:t xml:space="preserve"> </w:t>
      </w:r>
      <w:proofErr w:type="spellStart"/>
      <w:r w:rsidRPr="006E61DB">
        <w:rPr>
          <w:rFonts w:ascii="Book Antiqua" w:hAnsi="Book Antiqua" w:cs="Arial"/>
          <w:sz w:val="28"/>
          <w:szCs w:val="28"/>
        </w:rPr>
        <w:t>ROBERTIS</w:t>
      </w:r>
      <w:proofErr w:type="spellEnd"/>
      <w:r w:rsidRPr="006E61DB">
        <w:rPr>
          <w:rFonts w:ascii="Book Antiqua" w:hAnsi="Book Antiqua" w:cs="Arial"/>
          <w:sz w:val="28"/>
          <w:szCs w:val="28"/>
        </w:rPr>
        <w:t>, F. M.</w:t>
      </w:r>
      <w:r w:rsidRPr="006E61DB">
        <w:rPr>
          <w:rFonts w:ascii="Book Antiqua" w:hAnsi="Book Antiqua" w:cs="Arial"/>
          <w:i/>
          <w:sz w:val="28"/>
          <w:szCs w:val="28"/>
        </w:rPr>
        <w:t xml:space="preserve">., La disciplina </w:t>
      </w:r>
      <w:proofErr w:type="spellStart"/>
      <w:r w:rsidRPr="006E61DB">
        <w:rPr>
          <w:rFonts w:ascii="Book Antiqua" w:hAnsi="Book Antiqua" w:cs="Arial"/>
          <w:i/>
          <w:sz w:val="28"/>
          <w:szCs w:val="28"/>
        </w:rPr>
        <w:t>della</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responsabilitá</w:t>
      </w:r>
      <w:proofErr w:type="spellEnd"/>
      <w:r w:rsidRPr="006E61DB">
        <w:rPr>
          <w:rFonts w:ascii="Book Antiqua" w:hAnsi="Book Antiqua" w:cs="Arial"/>
          <w:i/>
          <w:sz w:val="28"/>
          <w:szCs w:val="28"/>
        </w:rPr>
        <w:t xml:space="preserve"> nel sistema </w:t>
      </w:r>
      <w:proofErr w:type="spellStart"/>
      <w:r w:rsidRPr="006E61DB">
        <w:rPr>
          <w:rFonts w:ascii="Book Antiqua" w:hAnsi="Book Antiqua" w:cs="Arial"/>
          <w:i/>
          <w:sz w:val="28"/>
          <w:szCs w:val="28"/>
        </w:rPr>
        <w:t>della</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Compilazione</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Giustinianea</w:t>
      </w:r>
      <w:proofErr w:type="spellEnd"/>
      <w:r w:rsidRPr="006E61DB">
        <w:rPr>
          <w:rFonts w:ascii="Book Antiqua" w:hAnsi="Book Antiqua" w:cs="Arial"/>
          <w:sz w:val="28"/>
          <w:szCs w:val="28"/>
        </w:rPr>
        <w:t>, Bari,</w:t>
      </w:r>
      <w:r>
        <w:rPr>
          <w:rFonts w:ascii="Book Antiqua" w:hAnsi="Book Antiqua" w:cs="Arial"/>
          <w:sz w:val="28"/>
          <w:szCs w:val="28"/>
        </w:rPr>
        <w:t xml:space="preserve"> </w:t>
      </w:r>
      <w:r w:rsidRPr="006E61DB">
        <w:rPr>
          <w:rFonts w:ascii="Book Antiqua" w:hAnsi="Book Antiqua" w:cs="Arial"/>
          <w:sz w:val="28"/>
          <w:szCs w:val="28"/>
        </w:rPr>
        <w:t xml:space="preserve">1964. </w:t>
      </w:r>
    </w:p>
    <w:p w14:paraId="7D6BB70A" w14:textId="77777777" w:rsidR="004A00AB" w:rsidRPr="006E61DB" w:rsidRDefault="004A00AB" w:rsidP="004A00AB">
      <w:pPr>
        <w:shd w:val="clear" w:color="auto" w:fill="FFFFFF"/>
        <w:spacing w:before="120" w:after="120"/>
        <w:jc w:val="both"/>
        <w:textAlignment w:val="baseline"/>
        <w:rPr>
          <w:rFonts w:ascii="Book Antiqua" w:hAnsi="Book Antiqua"/>
          <w:sz w:val="28"/>
          <w:szCs w:val="28"/>
        </w:rPr>
      </w:pPr>
      <w:r w:rsidRPr="006E61DB">
        <w:rPr>
          <w:rFonts w:ascii="Book Antiqua" w:hAnsi="Book Antiqua"/>
          <w:sz w:val="28"/>
          <w:szCs w:val="28"/>
        </w:rPr>
        <w:t xml:space="preserve">DOMINGO </w:t>
      </w:r>
      <w:proofErr w:type="spellStart"/>
      <w:r w:rsidRPr="006E61DB">
        <w:rPr>
          <w:rFonts w:ascii="Book Antiqua" w:hAnsi="Book Antiqua"/>
          <w:sz w:val="28"/>
          <w:szCs w:val="28"/>
        </w:rPr>
        <w:t>OSLÉ</w:t>
      </w:r>
      <w:proofErr w:type="spellEnd"/>
      <w:r w:rsidRPr="006E61DB">
        <w:rPr>
          <w:rFonts w:ascii="Book Antiqua" w:hAnsi="Book Antiqua"/>
          <w:sz w:val="28"/>
          <w:szCs w:val="28"/>
        </w:rPr>
        <w:t>, R., ¿</w:t>
      </w:r>
      <w:r w:rsidRPr="006E61DB">
        <w:rPr>
          <w:rFonts w:ascii="Book Antiqua" w:hAnsi="Book Antiqua"/>
          <w:i/>
          <w:sz w:val="28"/>
          <w:szCs w:val="28"/>
        </w:rPr>
        <w:t>Qué es del derecho global</w:t>
      </w:r>
      <w:r w:rsidRPr="006E61DB">
        <w:rPr>
          <w:rFonts w:ascii="Book Antiqua" w:hAnsi="Book Antiqua"/>
          <w:sz w:val="28"/>
          <w:szCs w:val="28"/>
        </w:rPr>
        <w:t>?, Madrid, 2008.</w:t>
      </w:r>
    </w:p>
    <w:p w14:paraId="2859F25F" w14:textId="77777777" w:rsidR="004A00AB" w:rsidRPr="00D14817" w:rsidRDefault="004A00AB" w:rsidP="004A00AB">
      <w:pPr>
        <w:shd w:val="clear" w:color="auto" w:fill="FFFFFF"/>
        <w:spacing w:before="120" w:after="120"/>
        <w:jc w:val="both"/>
        <w:textAlignment w:val="baseline"/>
        <w:rPr>
          <w:rFonts w:ascii="Book Antiqua" w:hAnsi="Book Antiqua"/>
          <w:sz w:val="28"/>
          <w:szCs w:val="28"/>
          <w:lang w:val="en-US"/>
        </w:rPr>
      </w:pPr>
      <w:r w:rsidRPr="006E61DB">
        <w:rPr>
          <w:rFonts w:ascii="Book Antiqua" w:hAnsi="Book Antiqua"/>
          <w:sz w:val="28"/>
          <w:szCs w:val="28"/>
        </w:rPr>
        <w:t>FERNÁNDEZ DE BUJÁN, A.</w:t>
      </w:r>
      <w:r w:rsidRPr="006E61DB">
        <w:rPr>
          <w:rFonts w:ascii="Book Antiqua" w:hAnsi="Book Antiqua"/>
          <w:i/>
          <w:sz w:val="28"/>
          <w:szCs w:val="28"/>
        </w:rPr>
        <w:t xml:space="preserve">, </w:t>
      </w:r>
      <w:r w:rsidRPr="006E61DB">
        <w:rPr>
          <w:rFonts w:ascii="Book Antiqua" w:hAnsi="Book Antiqua"/>
          <w:iCs/>
          <w:sz w:val="28"/>
          <w:szCs w:val="28"/>
        </w:rPr>
        <w:t xml:space="preserve">“Ciencia jurídica europea y Derecho comunitario: Ius </w:t>
      </w:r>
      <w:proofErr w:type="spellStart"/>
      <w:r w:rsidRPr="006E61DB">
        <w:rPr>
          <w:rFonts w:ascii="Book Antiqua" w:hAnsi="Book Antiqua"/>
          <w:iCs/>
          <w:sz w:val="28"/>
          <w:szCs w:val="28"/>
        </w:rPr>
        <w:t>romanum</w:t>
      </w:r>
      <w:proofErr w:type="spellEnd"/>
      <w:r w:rsidRPr="006E61DB">
        <w:rPr>
          <w:rFonts w:ascii="Book Antiqua" w:hAnsi="Book Antiqua"/>
          <w:iCs/>
          <w:sz w:val="28"/>
          <w:szCs w:val="28"/>
        </w:rPr>
        <w:t xml:space="preserve">. </w:t>
      </w:r>
      <w:r w:rsidRPr="00D14817">
        <w:rPr>
          <w:rFonts w:ascii="Book Antiqua" w:hAnsi="Book Antiqua"/>
          <w:iCs/>
          <w:sz w:val="28"/>
          <w:szCs w:val="28"/>
          <w:lang w:val="en-US"/>
        </w:rPr>
        <w:t xml:space="preserve">Ius commune. Common law. Civil law”, en </w:t>
      </w:r>
      <w:r w:rsidRPr="00D14817">
        <w:rPr>
          <w:rFonts w:ascii="Book Antiqua" w:hAnsi="Book Antiqua"/>
          <w:i/>
          <w:sz w:val="28"/>
          <w:szCs w:val="28"/>
          <w:lang w:val="en-US"/>
        </w:rPr>
        <w:t>GLOSSAE</w:t>
      </w:r>
      <w:r w:rsidRPr="00D14817">
        <w:rPr>
          <w:rFonts w:ascii="Book Antiqua" w:hAnsi="Book Antiqua"/>
          <w:sz w:val="28"/>
          <w:szCs w:val="28"/>
          <w:lang w:val="en-US"/>
        </w:rPr>
        <w:t xml:space="preserve">. </w:t>
      </w:r>
      <w:r w:rsidRPr="00D14817">
        <w:rPr>
          <w:rFonts w:ascii="Book Antiqua" w:hAnsi="Book Antiqua"/>
          <w:i/>
          <w:iCs/>
          <w:sz w:val="28"/>
          <w:szCs w:val="28"/>
          <w:lang w:val="en-US"/>
        </w:rPr>
        <w:t>European Journal of Legal History</w:t>
      </w:r>
      <w:r w:rsidRPr="00D14817">
        <w:rPr>
          <w:rFonts w:ascii="Book Antiqua" w:hAnsi="Book Antiqua"/>
          <w:sz w:val="28"/>
          <w:szCs w:val="28"/>
          <w:lang w:val="en-US"/>
        </w:rPr>
        <w:t>, 13 (2016).</w:t>
      </w:r>
    </w:p>
    <w:p w14:paraId="1DB3E42E"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 xml:space="preserve">FERNÁNDEZ DE BUJÁN, A., </w:t>
      </w:r>
      <w:r w:rsidRPr="006E61DB">
        <w:rPr>
          <w:rFonts w:ascii="Book Antiqua" w:hAnsi="Book Antiqua" w:cs="Arial"/>
          <w:i/>
          <w:iCs/>
          <w:sz w:val="28"/>
          <w:szCs w:val="28"/>
        </w:rPr>
        <w:t>La jurisdicción voluntaria en Derecho Romano</w:t>
      </w:r>
      <w:r w:rsidRPr="006E61DB">
        <w:rPr>
          <w:rFonts w:ascii="Book Antiqua" w:hAnsi="Book Antiqua" w:cs="Arial"/>
          <w:sz w:val="28"/>
          <w:szCs w:val="28"/>
        </w:rPr>
        <w:t>, Madrid, 1986.</w:t>
      </w:r>
    </w:p>
    <w:p w14:paraId="19457EFF"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GIRARD, P. F.</w:t>
      </w:r>
      <w:r>
        <w:rPr>
          <w:rFonts w:ascii="Book Antiqua" w:hAnsi="Book Antiqua" w:cs="Arial"/>
          <w:sz w:val="28"/>
          <w:szCs w:val="28"/>
        </w:rPr>
        <w:t>,</w:t>
      </w:r>
      <w:r w:rsidRPr="006E61DB">
        <w:rPr>
          <w:rFonts w:ascii="Book Antiqua" w:hAnsi="Book Antiqua" w:cs="Arial"/>
          <w:sz w:val="28"/>
          <w:szCs w:val="28"/>
        </w:rPr>
        <w:t xml:space="preserve"> </w:t>
      </w:r>
      <w:r w:rsidRPr="006E61DB">
        <w:rPr>
          <w:rFonts w:ascii="Book Antiqua" w:hAnsi="Book Antiqua" w:cs="Arial"/>
          <w:i/>
          <w:sz w:val="28"/>
          <w:szCs w:val="28"/>
        </w:rPr>
        <w:t xml:space="preserve">Manuel de </w:t>
      </w:r>
      <w:proofErr w:type="spellStart"/>
      <w:r w:rsidRPr="006E61DB">
        <w:rPr>
          <w:rFonts w:ascii="Book Antiqua" w:hAnsi="Book Antiqua" w:cs="Arial"/>
          <w:i/>
          <w:sz w:val="28"/>
          <w:szCs w:val="28"/>
        </w:rPr>
        <w:t>Droit</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Romaine</w:t>
      </w:r>
      <w:proofErr w:type="spellEnd"/>
      <w:r w:rsidRPr="006E61DB">
        <w:rPr>
          <w:rFonts w:ascii="Book Antiqua" w:hAnsi="Book Antiqua" w:cs="Arial"/>
          <w:sz w:val="28"/>
          <w:szCs w:val="28"/>
        </w:rPr>
        <w:t xml:space="preserve">, París, 1929. </w:t>
      </w:r>
    </w:p>
    <w:p w14:paraId="1A25BEA7" w14:textId="77777777" w:rsidR="004A00AB" w:rsidRPr="00D14817" w:rsidRDefault="004A00AB" w:rsidP="004A00AB">
      <w:pPr>
        <w:pStyle w:val="Textonotapie"/>
        <w:spacing w:before="120" w:after="120"/>
        <w:rPr>
          <w:rFonts w:ascii="Book Antiqua" w:hAnsi="Book Antiqua" w:cs="Arial"/>
          <w:sz w:val="28"/>
          <w:szCs w:val="28"/>
        </w:rPr>
      </w:pPr>
      <w:r w:rsidRPr="00D14817">
        <w:rPr>
          <w:rFonts w:ascii="Book Antiqua" w:hAnsi="Book Antiqua" w:cs="Arial"/>
          <w:sz w:val="28"/>
          <w:szCs w:val="28"/>
        </w:rPr>
        <w:t xml:space="preserve">GIRARD, </w:t>
      </w:r>
      <w:proofErr w:type="spellStart"/>
      <w:r w:rsidRPr="00D14817">
        <w:rPr>
          <w:rFonts w:ascii="Book Antiqua" w:hAnsi="Book Antiqua" w:cs="Arial"/>
          <w:sz w:val="28"/>
          <w:szCs w:val="28"/>
        </w:rPr>
        <w:t>P.F</w:t>
      </w:r>
      <w:proofErr w:type="spellEnd"/>
      <w:r w:rsidRPr="00D14817">
        <w:rPr>
          <w:rFonts w:ascii="Book Antiqua" w:hAnsi="Book Antiqua" w:cs="Arial"/>
          <w:sz w:val="28"/>
          <w:szCs w:val="28"/>
        </w:rPr>
        <w:t xml:space="preserve">., </w:t>
      </w:r>
      <w:proofErr w:type="spellStart"/>
      <w:r w:rsidRPr="00D14817">
        <w:rPr>
          <w:rFonts w:ascii="Book Antiqua" w:hAnsi="Book Antiqua" w:cs="Arial"/>
          <w:i/>
          <w:sz w:val="28"/>
          <w:szCs w:val="28"/>
        </w:rPr>
        <w:t>Histoire</w:t>
      </w:r>
      <w:proofErr w:type="spellEnd"/>
      <w:r w:rsidRPr="00D14817">
        <w:rPr>
          <w:rFonts w:ascii="Book Antiqua" w:hAnsi="Book Antiqua" w:cs="Arial"/>
          <w:i/>
          <w:sz w:val="28"/>
          <w:szCs w:val="28"/>
        </w:rPr>
        <w:t xml:space="preserve"> de </w:t>
      </w:r>
      <w:proofErr w:type="spellStart"/>
      <w:r w:rsidRPr="00D14817">
        <w:rPr>
          <w:rFonts w:ascii="Book Antiqua" w:hAnsi="Book Antiqua" w:cs="Arial"/>
          <w:i/>
          <w:sz w:val="28"/>
          <w:szCs w:val="28"/>
        </w:rPr>
        <w:t>l´organisation</w:t>
      </w:r>
      <w:proofErr w:type="spellEnd"/>
      <w:r w:rsidRPr="00D14817">
        <w:rPr>
          <w:rFonts w:ascii="Book Antiqua" w:hAnsi="Book Antiqua" w:cs="Arial"/>
          <w:i/>
          <w:sz w:val="28"/>
          <w:szCs w:val="28"/>
        </w:rPr>
        <w:t xml:space="preserve"> </w:t>
      </w:r>
      <w:proofErr w:type="spellStart"/>
      <w:r w:rsidRPr="00D14817">
        <w:rPr>
          <w:rFonts w:ascii="Book Antiqua" w:hAnsi="Book Antiqua" w:cs="Arial"/>
          <w:i/>
          <w:sz w:val="28"/>
          <w:szCs w:val="28"/>
        </w:rPr>
        <w:t>judiciaire</w:t>
      </w:r>
      <w:proofErr w:type="spellEnd"/>
      <w:r w:rsidRPr="00D14817">
        <w:rPr>
          <w:rFonts w:ascii="Book Antiqua" w:hAnsi="Book Antiqua" w:cs="Arial"/>
          <w:i/>
          <w:sz w:val="28"/>
          <w:szCs w:val="28"/>
        </w:rPr>
        <w:t xml:space="preserve"> des </w:t>
      </w:r>
      <w:proofErr w:type="spellStart"/>
      <w:r w:rsidRPr="00D14817">
        <w:rPr>
          <w:rFonts w:ascii="Book Antiqua" w:hAnsi="Book Antiqua" w:cs="Arial"/>
          <w:i/>
          <w:sz w:val="28"/>
          <w:szCs w:val="28"/>
        </w:rPr>
        <w:t>romains</w:t>
      </w:r>
      <w:proofErr w:type="spellEnd"/>
      <w:r w:rsidRPr="00D14817">
        <w:rPr>
          <w:rFonts w:ascii="Book Antiqua" w:hAnsi="Book Antiqua" w:cs="Arial"/>
          <w:i/>
          <w:sz w:val="28"/>
          <w:szCs w:val="28"/>
        </w:rPr>
        <w:t>,</w:t>
      </w:r>
      <w:r w:rsidRPr="00D14817">
        <w:rPr>
          <w:rFonts w:ascii="Book Antiqua" w:hAnsi="Book Antiqua" w:cs="Arial"/>
          <w:sz w:val="28"/>
          <w:szCs w:val="28"/>
        </w:rPr>
        <w:t xml:space="preserve"> París, 1901.</w:t>
      </w:r>
    </w:p>
    <w:p w14:paraId="350FC11E"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GUTIERREZ ESPADA, C.</w:t>
      </w:r>
      <w:r>
        <w:rPr>
          <w:rFonts w:ascii="Book Antiqua" w:hAnsi="Book Antiqua" w:cs="Arial"/>
          <w:sz w:val="28"/>
          <w:szCs w:val="28"/>
        </w:rPr>
        <w:t>,</w:t>
      </w:r>
      <w:r w:rsidRPr="006E61DB">
        <w:rPr>
          <w:rFonts w:ascii="Book Antiqua" w:hAnsi="Book Antiqua" w:cs="Arial"/>
          <w:sz w:val="28"/>
          <w:szCs w:val="28"/>
        </w:rPr>
        <w:t xml:space="preserve"> et. </w:t>
      </w:r>
      <w:proofErr w:type="spellStart"/>
      <w:r w:rsidRPr="006E61DB">
        <w:rPr>
          <w:rFonts w:ascii="Book Antiqua" w:hAnsi="Book Antiqua" w:cs="Arial"/>
          <w:sz w:val="28"/>
          <w:szCs w:val="28"/>
        </w:rPr>
        <w:t>all</w:t>
      </w:r>
      <w:proofErr w:type="spellEnd"/>
      <w:r w:rsidRPr="006E61DB">
        <w:rPr>
          <w:rFonts w:ascii="Book Antiqua" w:hAnsi="Book Antiqua" w:cs="Arial"/>
          <w:sz w:val="28"/>
          <w:szCs w:val="28"/>
        </w:rPr>
        <w:t xml:space="preserve">. </w:t>
      </w:r>
      <w:r w:rsidRPr="006E61DB">
        <w:rPr>
          <w:rFonts w:ascii="Book Antiqua" w:hAnsi="Book Antiqua" w:cs="Arial"/>
          <w:i/>
          <w:sz w:val="28"/>
          <w:szCs w:val="28"/>
        </w:rPr>
        <w:t>La Unión Europea y su Derecho,</w:t>
      </w:r>
      <w:r w:rsidRPr="006E61DB">
        <w:rPr>
          <w:rFonts w:ascii="Book Antiqua" w:hAnsi="Book Antiqua" w:cs="Arial"/>
          <w:sz w:val="28"/>
          <w:szCs w:val="28"/>
        </w:rPr>
        <w:t xml:space="preserve"> Madrid, 201</w:t>
      </w:r>
      <w:r>
        <w:rPr>
          <w:rFonts w:ascii="Book Antiqua" w:hAnsi="Book Antiqua" w:cs="Arial"/>
          <w:sz w:val="28"/>
          <w:szCs w:val="28"/>
        </w:rPr>
        <w:t>2</w:t>
      </w:r>
      <w:r w:rsidRPr="006E61DB">
        <w:rPr>
          <w:rFonts w:ascii="Book Antiqua" w:hAnsi="Book Antiqua" w:cs="Arial"/>
          <w:sz w:val="28"/>
          <w:szCs w:val="28"/>
        </w:rPr>
        <w:t xml:space="preserve">., </w:t>
      </w:r>
    </w:p>
    <w:p w14:paraId="38707B6F" w14:textId="77777777" w:rsidR="004A00AB" w:rsidRPr="00D14817" w:rsidRDefault="004A00AB" w:rsidP="004A00AB">
      <w:pPr>
        <w:pStyle w:val="Textonotapie"/>
        <w:spacing w:before="120" w:after="120"/>
        <w:rPr>
          <w:rFonts w:ascii="Book Antiqua" w:hAnsi="Book Antiqua" w:cs="Arial"/>
          <w:sz w:val="28"/>
          <w:szCs w:val="28"/>
          <w:lang w:val="en-US"/>
        </w:rPr>
      </w:pPr>
      <w:proofErr w:type="spellStart"/>
      <w:r w:rsidRPr="006E61DB">
        <w:rPr>
          <w:rFonts w:ascii="Book Antiqua" w:hAnsi="Book Antiqua" w:cs="Arial"/>
          <w:sz w:val="28"/>
          <w:szCs w:val="28"/>
          <w:lang w:val="en-US"/>
        </w:rPr>
        <w:t>KASSER</w:t>
      </w:r>
      <w:proofErr w:type="spellEnd"/>
      <w:r w:rsidRPr="006E61DB">
        <w:rPr>
          <w:rFonts w:ascii="Book Antiqua" w:hAnsi="Book Antiqua" w:cs="Arial"/>
          <w:sz w:val="28"/>
          <w:szCs w:val="28"/>
          <w:lang w:val="en-US"/>
        </w:rPr>
        <w:t>, M.</w:t>
      </w:r>
      <w:r w:rsidRPr="006E61DB">
        <w:rPr>
          <w:rFonts w:ascii="Book Antiqua" w:hAnsi="Book Antiqua" w:cs="Arial"/>
          <w:i/>
          <w:sz w:val="28"/>
          <w:szCs w:val="28"/>
          <w:lang w:val="en-US"/>
        </w:rPr>
        <w:t xml:space="preserve">, Das </w:t>
      </w:r>
      <w:proofErr w:type="spellStart"/>
      <w:r w:rsidRPr="006E61DB">
        <w:rPr>
          <w:rFonts w:ascii="Book Antiqua" w:hAnsi="Book Antiqua" w:cs="Arial"/>
          <w:i/>
          <w:sz w:val="28"/>
          <w:szCs w:val="28"/>
          <w:lang w:val="en-US"/>
        </w:rPr>
        <w:t>römische</w:t>
      </w:r>
      <w:proofErr w:type="spellEnd"/>
      <w:r w:rsidRPr="006E61DB">
        <w:rPr>
          <w:rFonts w:ascii="Book Antiqua" w:hAnsi="Book Antiqua" w:cs="Arial"/>
          <w:i/>
          <w:sz w:val="28"/>
          <w:szCs w:val="28"/>
          <w:lang w:val="en-US"/>
        </w:rPr>
        <w:t xml:space="preserve"> </w:t>
      </w:r>
      <w:proofErr w:type="spellStart"/>
      <w:r w:rsidRPr="006E61DB">
        <w:rPr>
          <w:rFonts w:ascii="Book Antiqua" w:hAnsi="Book Antiqua" w:cs="Arial"/>
          <w:i/>
          <w:sz w:val="28"/>
          <w:szCs w:val="28"/>
          <w:lang w:val="en-US"/>
        </w:rPr>
        <w:t>Zivilprozessrecht</w:t>
      </w:r>
      <w:proofErr w:type="spellEnd"/>
      <w:r w:rsidRPr="006E61DB">
        <w:rPr>
          <w:rFonts w:ascii="Book Antiqua" w:hAnsi="Book Antiqua" w:cs="Arial"/>
          <w:sz w:val="28"/>
          <w:szCs w:val="28"/>
          <w:lang w:val="en-US"/>
        </w:rPr>
        <w:t xml:space="preserve">, Munich, 1966 (reed. </w:t>
      </w:r>
      <w:r w:rsidRPr="00D14817">
        <w:rPr>
          <w:rFonts w:ascii="Book Antiqua" w:hAnsi="Book Antiqua" w:cs="Arial"/>
          <w:sz w:val="28"/>
          <w:szCs w:val="28"/>
          <w:lang w:val="en-US"/>
        </w:rPr>
        <w:t xml:space="preserve">1996). </w:t>
      </w:r>
    </w:p>
    <w:p w14:paraId="4E3C1B81" w14:textId="77777777" w:rsidR="004A00AB" w:rsidRPr="006E61DB" w:rsidRDefault="004A00AB" w:rsidP="004A00AB">
      <w:pPr>
        <w:shd w:val="clear" w:color="auto" w:fill="FFFFFF"/>
        <w:spacing w:before="120" w:after="120"/>
        <w:jc w:val="both"/>
        <w:textAlignment w:val="baseline"/>
        <w:rPr>
          <w:rFonts w:ascii="Book Antiqua" w:hAnsi="Book Antiqua"/>
          <w:sz w:val="28"/>
          <w:szCs w:val="28"/>
          <w:lang w:val="en-US"/>
        </w:rPr>
      </w:pPr>
      <w:proofErr w:type="spellStart"/>
      <w:r w:rsidRPr="006E61DB">
        <w:rPr>
          <w:rFonts w:ascii="Book Antiqua" w:hAnsi="Book Antiqua"/>
          <w:sz w:val="28"/>
          <w:szCs w:val="28"/>
          <w:lang w:val="en-US"/>
        </w:rPr>
        <w:t>KOSCHAKER</w:t>
      </w:r>
      <w:proofErr w:type="spellEnd"/>
      <w:r w:rsidRPr="006E61DB">
        <w:rPr>
          <w:rFonts w:ascii="Book Antiqua" w:hAnsi="Book Antiqua"/>
          <w:sz w:val="28"/>
          <w:szCs w:val="28"/>
          <w:lang w:val="en-US"/>
        </w:rPr>
        <w:t xml:space="preserve">, P., </w:t>
      </w:r>
      <w:r w:rsidRPr="006E61DB">
        <w:rPr>
          <w:rFonts w:ascii="Book Antiqua" w:hAnsi="Book Antiqua"/>
          <w:i/>
          <w:sz w:val="28"/>
          <w:szCs w:val="28"/>
          <w:lang w:val="en-US"/>
        </w:rPr>
        <w:t xml:space="preserve">Europa und das </w:t>
      </w:r>
      <w:proofErr w:type="spellStart"/>
      <w:r w:rsidRPr="006E61DB">
        <w:rPr>
          <w:rFonts w:ascii="Book Antiqua" w:hAnsi="Book Antiqua"/>
          <w:i/>
          <w:sz w:val="28"/>
          <w:szCs w:val="28"/>
          <w:lang w:val="en-US"/>
        </w:rPr>
        <w:t>römische</w:t>
      </w:r>
      <w:proofErr w:type="spellEnd"/>
      <w:r w:rsidRPr="006E61DB">
        <w:rPr>
          <w:rFonts w:ascii="Book Antiqua" w:hAnsi="Book Antiqua"/>
          <w:i/>
          <w:sz w:val="28"/>
          <w:szCs w:val="28"/>
          <w:lang w:val="en-US"/>
        </w:rPr>
        <w:t xml:space="preserve"> </w:t>
      </w:r>
      <w:proofErr w:type="spellStart"/>
      <w:r w:rsidRPr="006E61DB">
        <w:rPr>
          <w:rFonts w:ascii="Book Antiqua" w:hAnsi="Book Antiqua"/>
          <w:i/>
          <w:sz w:val="28"/>
          <w:szCs w:val="28"/>
          <w:lang w:val="en-US"/>
        </w:rPr>
        <w:t>Recht</w:t>
      </w:r>
      <w:proofErr w:type="spellEnd"/>
      <w:r w:rsidRPr="006E61DB">
        <w:rPr>
          <w:rFonts w:ascii="Book Antiqua" w:hAnsi="Book Antiqua"/>
          <w:i/>
          <w:sz w:val="28"/>
          <w:szCs w:val="28"/>
          <w:lang w:val="en-US"/>
        </w:rPr>
        <w:t xml:space="preserve">, </w:t>
      </w:r>
      <w:r w:rsidRPr="006E61DB">
        <w:rPr>
          <w:rFonts w:ascii="Book Antiqua" w:hAnsi="Book Antiqua"/>
          <w:sz w:val="28"/>
          <w:szCs w:val="28"/>
          <w:lang w:val="en-US"/>
        </w:rPr>
        <w:t xml:space="preserve">Munich, 1947. </w:t>
      </w:r>
    </w:p>
    <w:p w14:paraId="72F7F6F5"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 xml:space="preserve">LÓPEZ-RENDO RODRIGUEZ, C. y AZAUSTRE FERNÁNDEZ, M. J., “Sumisión y residencia habitual en el Reglamento Europeo de Sucesiones: Fundamentos </w:t>
      </w:r>
      <w:proofErr w:type="spellStart"/>
      <w:r w:rsidRPr="006E61DB">
        <w:rPr>
          <w:rFonts w:ascii="Book Antiqua" w:hAnsi="Book Antiqua" w:cs="Arial"/>
          <w:sz w:val="28"/>
          <w:szCs w:val="28"/>
        </w:rPr>
        <w:t>Romanísticos</w:t>
      </w:r>
      <w:proofErr w:type="spellEnd"/>
      <w:r w:rsidRPr="006E61DB">
        <w:rPr>
          <w:rFonts w:ascii="Book Antiqua" w:hAnsi="Book Antiqua" w:cs="Arial"/>
          <w:sz w:val="28"/>
          <w:szCs w:val="28"/>
        </w:rPr>
        <w:t xml:space="preserve">”, en </w:t>
      </w:r>
      <w:r w:rsidRPr="006E61DB">
        <w:rPr>
          <w:rFonts w:ascii="Book Antiqua" w:hAnsi="Book Antiqua" w:cs="Arial"/>
          <w:i/>
          <w:iCs/>
          <w:sz w:val="28"/>
          <w:szCs w:val="28"/>
        </w:rPr>
        <w:t>Fundamentos</w:t>
      </w:r>
      <w:r w:rsidRPr="006E61DB">
        <w:rPr>
          <w:rFonts w:ascii="Book Antiqua" w:hAnsi="Book Antiqua" w:cs="Arial"/>
          <w:i/>
          <w:sz w:val="28"/>
          <w:szCs w:val="28"/>
        </w:rPr>
        <w:t xml:space="preserve"> </w:t>
      </w:r>
      <w:proofErr w:type="spellStart"/>
      <w:r w:rsidRPr="006E61DB">
        <w:rPr>
          <w:rFonts w:ascii="Book Antiqua" w:hAnsi="Book Antiqua" w:cs="Arial"/>
          <w:i/>
          <w:sz w:val="28"/>
          <w:szCs w:val="28"/>
        </w:rPr>
        <w:t>Romanísticos</w:t>
      </w:r>
      <w:proofErr w:type="spellEnd"/>
      <w:r w:rsidRPr="006E61DB">
        <w:rPr>
          <w:rFonts w:ascii="Book Antiqua" w:hAnsi="Book Antiqua" w:cs="Arial"/>
          <w:i/>
          <w:sz w:val="28"/>
          <w:szCs w:val="28"/>
        </w:rPr>
        <w:t xml:space="preserve"> del Derecho Europeo e Iberoamericano, (</w:t>
      </w:r>
      <w:r w:rsidRPr="006E61DB">
        <w:rPr>
          <w:rFonts w:ascii="Book Antiqua" w:hAnsi="Book Antiqua" w:cs="Arial"/>
          <w:sz w:val="28"/>
          <w:szCs w:val="28"/>
        </w:rPr>
        <w:t xml:space="preserve">coord. Carmen López Rendo,) Madrid, 2020, </w:t>
      </w:r>
      <w:proofErr w:type="spellStart"/>
      <w:r w:rsidRPr="006E61DB">
        <w:rPr>
          <w:rFonts w:ascii="Book Antiqua" w:hAnsi="Book Antiqua" w:cs="Arial"/>
          <w:sz w:val="28"/>
          <w:szCs w:val="28"/>
        </w:rPr>
        <w:t>Vol</w:t>
      </w:r>
      <w:proofErr w:type="spellEnd"/>
      <w:r w:rsidRPr="006E61DB">
        <w:rPr>
          <w:rFonts w:ascii="Book Antiqua" w:hAnsi="Book Antiqua" w:cs="Arial"/>
          <w:sz w:val="28"/>
          <w:szCs w:val="28"/>
        </w:rPr>
        <w:t xml:space="preserve"> II. </w:t>
      </w:r>
    </w:p>
    <w:p w14:paraId="2DC9FFB4"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 xml:space="preserve">LORENTE MARTÍNEZ, I., “Lugar del hecho dañoso y obligaciones extracontractuales. La sentencia del </w:t>
      </w:r>
      <w:proofErr w:type="spellStart"/>
      <w:r w:rsidRPr="006E61DB">
        <w:rPr>
          <w:rFonts w:ascii="Book Antiqua" w:hAnsi="Book Antiqua" w:cs="Arial"/>
          <w:sz w:val="28"/>
          <w:szCs w:val="28"/>
        </w:rPr>
        <w:t>TJUE</w:t>
      </w:r>
      <w:proofErr w:type="spellEnd"/>
      <w:r w:rsidRPr="006E61DB">
        <w:rPr>
          <w:rFonts w:ascii="Book Antiqua" w:hAnsi="Book Antiqua" w:cs="Arial"/>
          <w:sz w:val="28"/>
          <w:szCs w:val="28"/>
        </w:rPr>
        <w:t xml:space="preserve"> de 25 octubre 2011 y el coste de la litigación internacional en Internet”, en </w:t>
      </w:r>
      <w:r w:rsidRPr="006E61DB">
        <w:rPr>
          <w:rFonts w:ascii="Book Antiqua" w:hAnsi="Book Antiqua" w:cs="Arial"/>
          <w:i/>
          <w:sz w:val="28"/>
          <w:szCs w:val="28"/>
        </w:rPr>
        <w:t>Cuadernos de Derecho Transnacional</w:t>
      </w:r>
      <w:r w:rsidRPr="006E61DB">
        <w:rPr>
          <w:rFonts w:ascii="Book Antiqua" w:hAnsi="Book Antiqua" w:cs="Arial"/>
          <w:sz w:val="28"/>
          <w:szCs w:val="28"/>
        </w:rPr>
        <w:t xml:space="preserve"> (</w:t>
      </w:r>
      <w:proofErr w:type="gramStart"/>
      <w:r w:rsidRPr="006E61DB">
        <w:rPr>
          <w:rFonts w:ascii="Book Antiqua" w:hAnsi="Book Antiqua" w:cs="Arial"/>
          <w:sz w:val="28"/>
          <w:szCs w:val="28"/>
        </w:rPr>
        <w:t>Marzo</w:t>
      </w:r>
      <w:proofErr w:type="gramEnd"/>
      <w:r w:rsidRPr="006E61DB">
        <w:rPr>
          <w:rFonts w:ascii="Book Antiqua" w:hAnsi="Book Antiqua" w:cs="Arial"/>
          <w:sz w:val="28"/>
          <w:szCs w:val="28"/>
        </w:rPr>
        <w:t xml:space="preserve"> 2012), Madrid, Vol. 4, </w:t>
      </w:r>
      <w:proofErr w:type="spellStart"/>
      <w:r w:rsidRPr="006E61DB">
        <w:rPr>
          <w:rFonts w:ascii="Book Antiqua" w:hAnsi="Book Antiqua" w:cs="Arial"/>
          <w:sz w:val="28"/>
          <w:szCs w:val="28"/>
        </w:rPr>
        <w:t>Nº</w:t>
      </w:r>
      <w:proofErr w:type="spellEnd"/>
      <w:r w:rsidRPr="006E61DB">
        <w:rPr>
          <w:rFonts w:ascii="Book Antiqua" w:hAnsi="Book Antiqua" w:cs="Arial"/>
          <w:sz w:val="28"/>
          <w:szCs w:val="28"/>
        </w:rPr>
        <w:t xml:space="preserve"> 1. </w:t>
      </w:r>
    </w:p>
    <w:p w14:paraId="3963690B" w14:textId="77777777" w:rsidR="004A00AB" w:rsidRPr="006E61DB" w:rsidRDefault="004A00AB" w:rsidP="004A00AB">
      <w:pPr>
        <w:pStyle w:val="Textonotapie"/>
        <w:spacing w:before="120" w:after="120"/>
        <w:rPr>
          <w:rFonts w:ascii="Book Antiqua" w:hAnsi="Book Antiqua" w:cs="Arial"/>
          <w:sz w:val="28"/>
          <w:szCs w:val="28"/>
        </w:rPr>
      </w:pPr>
      <w:proofErr w:type="spellStart"/>
      <w:r w:rsidRPr="006E61DB">
        <w:rPr>
          <w:rFonts w:ascii="Book Antiqua" w:hAnsi="Book Antiqua" w:cs="Arial"/>
          <w:sz w:val="28"/>
          <w:szCs w:val="28"/>
        </w:rPr>
        <w:t>LUZZATTO</w:t>
      </w:r>
      <w:proofErr w:type="spellEnd"/>
      <w:r w:rsidRPr="006E61DB">
        <w:rPr>
          <w:rFonts w:ascii="Book Antiqua" w:hAnsi="Book Antiqua" w:cs="Arial"/>
          <w:sz w:val="28"/>
          <w:szCs w:val="28"/>
        </w:rPr>
        <w:t xml:space="preserve">, G. I., </w:t>
      </w:r>
      <w:proofErr w:type="spellStart"/>
      <w:r w:rsidRPr="006E61DB">
        <w:rPr>
          <w:rFonts w:ascii="Book Antiqua" w:hAnsi="Book Antiqua" w:cs="Arial"/>
          <w:i/>
          <w:sz w:val="28"/>
          <w:szCs w:val="28"/>
        </w:rPr>
        <w:t>Procedura</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civile</w:t>
      </w:r>
      <w:proofErr w:type="spellEnd"/>
      <w:r w:rsidRPr="006E61DB">
        <w:rPr>
          <w:rFonts w:ascii="Book Antiqua" w:hAnsi="Book Antiqua" w:cs="Arial"/>
          <w:i/>
          <w:sz w:val="28"/>
          <w:szCs w:val="28"/>
        </w:rPr>
        <w:t xml:space="preserve"> </w:t>
      </w:r>
      <w:proofErr w:type="spellStart"/>
      <w:proofErr w:type="gramStart"/>
      <w:r w:rsidRPr="006E61DB">
        <w:rPr>
          <w:rFonts w:ascii="Book Antiqua" w:hAnsi="Book Antiqua" w:cs="Arial"/>
          <w:i/>
          <w:sz w:val="28"/>
          <w:szCs w:val="28"/>
        </w:rPr>
        <w:t>romana,II</w:t>
      </w:r>
      <w:proofErr w:type="spellEnd"/>
      <w:r w:rsidRPr="006E61DB">
        <w:rPr>
          <w:rFonts w:ascii="Book Antiqua" w:hAnsi="Book Antiqua" w:cs="Arial"/>
          <w:i/>
          <w:sz w:val="28"/>
          <w:szCs w:val="28"/>
        </w:rPr>
        <w:t>.</w:t>
      </w:r>
      <w:proofErr w:type="gramEnd"/>
      <w:r w:rsidRPr="006E61DB">
        <w:rPr>
          <w:rFonts w:ascii="Book Antiqua" w:hAnsi="Book Antiqua" w:cs="Arial"/>
          <w:i/>
          <w:sz w:val="28"/>
          <w:szCs w:val="28"/>
        </w:rPr>
        <w:t xml:space="preserve"> Les </w:t>
      </w:r>
      <w:proofErr w:type="spellStart"/>
      <w:r w:rsidRPr="006E61DB">
        <w:rPr>
          <w:rFonts w:ascii="Book Antiqua" w:hAnsi="Book Antiqua" w:cs="Arial"/>
          <w:i/>
          <w:sz w:val="28"/>
          <w:szCs w:val="28"/>
        </w:rPr>
        <w:t>legis</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actiones</w:t>
      </w:r>
      <w:proofErr w:type="spellEnd"/>
      <w:r w:rsidRPr="006E61DB">
        <w:rPr>
          <w:rFonts w:ascii="Book Antiqua" w:hAnsi="Book Antiqua" w:cs="Arial"/>
          <w:sz w:val="28"/>
          <w:szCs w:val="28"/>
        </w:rPr>
        <w:t>, Bolonia, 1947.</w:t>
      </w:r>
    </w:p>
    <w:p w14:paraId="35C19DDE" w14:textId="77777777" w:rsidR="004A00AB" w:rsidRPr="006E61DB" w:rsidRDefault="004A00AB" w:rsidP="004A00AB">
      <w:pPr>
        <w:pStyle w:val="Textonotapie"/>
        <w:spacing w:before="120" w:after="120"/>
        <w:rPr>
          <w:rFonts w:ascii="Book Antiqua" w:hAnsi="Book Antiqua" w:cs="Arial"/>
          <w:sz w:val="28"/>
          <w:szCs w:val="28"/>
        </w:rPr>
      </w:pPr>
      <w:proofErr w:type="spellStart"/>
      <w:r w:rsidRPr="006E61DB">
        <w:rPr>
          <w:rFonts w:ascii="Book Antiqua" w:hAnsi="Book Antiqua" w:cs="Arial"/>
          <w:sz w:val="28"/>
          <w:szCs w:val="28"/>
        </w:rPr>
        <w:t>MASSOL</w:t>
      </w:r>
      <w:proofErr w:type="spellEnd"/>
      <w:r w:rsidRPr="006E61DB">
        <w:rPr>
          <w:rFonts w:ascii="Book Antiqua" w:hAnsi="Book Antiqua" w:cs="Arial"/>
          <w:sz w:val="28"/>
          <w:szCs w:val="28"/>
        </w:rPr>
        <w:t xml:space="preserve">, H., </w:t>
      </w:r>
      <w:r w:rsidRPr="006E61DB">
        <w:rPr>
          <w:rFonts w:ascii="Book Antiqua" w:hAnsi="Book Antiqua" w:cs="Arial"/>
          <w:i/>
          <w:sz w:val="28"/>
          <w:szCs w:val="28"/>
        </w:rPr>
        <w:t xml:space="preserve">Du </w:t>
      </w:r>
      <w:proofErr w:type="spellStart"/>
      <w:r w:rsidRPr="006E61DB">
        <w:rPr>
          <w:rFonts w:ascii="Book Antiqua" w:hAnsi="Book Antiqua" w:cs="Arial"/>
          <w:i/>
          <w:sz w:val="28"/>
          <w:szCs w:val="28"/>
        </w:rPr>
        <w:t>lieu</w:t>
      </w:r>
      <w:proofErr w:type="spellEnd"/>
      <w:r w:rsidRPr="006E61DB">
        <w:rPr>
          <w:rFonts w:ascii="Book Antiqua" w:hAnsi="Book Antiqua" w:cs="Arial"/>
          <w:i/>
          <w:sz w:val="28"/>
          <w:szCs w:val="28"/>
        </w:rPr>
        <w:t xml:space="preserve"> du </w:t>
      </w:r>
      <w:proofErr w:type="spellStart"/>
      <w:r w:rsidRPr="006E61DB">
        <w:rPr>
          <w:rFonts w:ascii="Book Antiqua" w:hAnsi="Book Antiqua" w:cs="Arial"/>
          <w:i/>
          <w:sz w:val="28"/>
          <w:szCs w:val="28"/>
        </w:rPr>
        <w:t>paiemen</w:t>
      </w:r>
      <w:proofErr w:type="spellEnd"/>
      <w:r w:rsidRPr="006E61DB">
        <w:rPr>
          <w:rFonts w:ascii="Book Antiqua" w:hAnsi="Book Antiqua" w:cs="Arial"/>
          <w:i/>
          <w:sz w:val="28"/>
          <w:szCs w:val="28"/>
        </w:rPr>
        <w:t xml:space="preserve"> et du </w:t>
      </w:r>
      <w:proofErr w:type="spellStart"/>
      <w:r w:rsidRPr="006E61DB">
        <w:rPr>
          <w:rFonts w:ascii="Book Antiqua" w:hAnsi="Book Antiqua" w:cs="Arial"/>
          <w:i/>
          <w:sz w:val="28"/>
          <w:szCs w:val="28"/>
        </w:rPr>
        <w:t>lieu</w:t>
      </w:r>
      <w:proofErr w:type="spellEnd"/>
      <w:r w:rsidRPr="006E61DB">
        <w:rPr>
          <w:rFonts w:ascii="Book Antiqua" w:hAnsi="Book Antiqua" w:cs="Arial"/>
          <w:i/>
          <w:sz w:val="28"/>
          <w:szCs w:val="28"/>
        </w:rPr>
        <w:t xml:space="preserve"> de la </w:t>
      </w:r>
      <w:proofErr w:type="spellStart"/>
      <w:r w:rsidRPr="006E61DB">
        <w:rPr>
          <w:rFonts w:ascii="Book Antiqua" w:hAnsi="Book Antiqua" w:cs="Arial"/>
          <w:i/>
          <w:sz w:val="28"/>
          <w:szCs w:val="28"/>
        </w:rPr>
        <w:t>competence</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dans</w:t>
      </w:r>
      <w:proofErr w:type="spellEnd"/>
      <w:r w:rsidRPr="006E61DB">
        <w:rPr>
          <w:rFonts w:ascii="Book Antiqua" w:hAnsi="Book Antiqua" w:cs="Arial"/>
          <w:i/>
          <w:sz w:val="28"/>
          <w:szCs w:val="28"/>
        </w:rPr>
        <w:t xml:space="preserve"> les cas </w:t>
      </w:r>
      <w:proofErr w:type="spellStart"/>
      <w:r w:rsidRPr="006E61DB">
        <w:rPr>
          <w:rFonts w:ascii="Book Antiqua" w:hAnsi="Book Antiqua" w:cs="Arial"/>
          <w:i/>
          <w:sz w:val="28"/>
          <w:szCs w:val="28"/>
        </w:rPr>
        <w:t>deu</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paiement</w:t>
      </w:r>
      <w:proofErr w:type="spellEnd"/>
      <w:r w:rsidRPr="006E61DB">
        <w:rPr>
          <w:rFonts w:ascii="Book Antiqua" w:hAnsi="Book Antiqua" w:cs="Arial"/>
          <w:i/>
          <w:sz w:val="28"/>
          <w:szCs w:val="28"/>
        </w:rPr>
        <w:t xml:space="preserve"> en </w:t>
      </w:r>
      <w:proofErr w:type="spellStart"/>
      <w:r w:rsidRPr="006E61DB">
        <w:rPr>
          <w:rFonts w:ascii="Book Antiqua" w:hAnsi="Book Antiqua" w:cs="Arial"/>
          <w:i/>
          <w:sz w:val="28"/>
          <w:szCs w:val="28"/>
        </w:rPr>
        <w:t>droit</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romain</w:t>
      </w:r>
      <w:proofErr w:type="spellEnd"/>
      <w:r w:rsidRPr="006E61DB">
        <w:rPr>
          <w:rFonts w:ascii="Book Antiqua" w:hAnsi="Book Antiqua" w:cs="Arial"/>
          <w:i/>
          <w:sz w:val="28"/>
          <w:szCs w:val="28"/>
        </w:rPr>
        <w:t xml:space="preserve"> et </w:t>
      </w:r>
      <w:proofErr w:type="spellStart"/>
      <w:r w:rsidRPr="006E61DB">
        <w:rPr>
          <w:rFonts w:ascii="Book Antiqua" w:hAnsi="Book Antiqua" w:cs="Arial"/>
          <w:i/>
          <w:sz w:val="28"/>
          <w:szCs w:val="28"/>
        </w:rPr>
        <w:t>droit</w:t>
      </w:r>
      <w:proofErr w:type="spellEnd"/>
      <w:r w:rsidRPr="006E61DB">
        <w:rPr>
          <w:rFonts w:ascii="Book Antiqua" w:hAnsi="Book Antiqua" w:cs="Arial"/>
          <w:i/>
          <w:sz w:val="28"/>
          <w:szCs w:val="28"/>
        </w:rPr>
        <w:t xml:space="preserve"> </w:t>
      </w:r>
      <w:proofErr w:type="spellStart"/>
      <w:r w:rsidRPr="006E61DB">
        <w:rPr>
          <w:rFonts w:ascii="Book Antiqua" w:hAnsi="Book Antiqua" w:cs="Arial"/>
          <w:i/>
          <w:sz w:val="28"/>
          <w:szCs w:val="28"/>
        </w:rPr>
        <w:t>francaise</w:t>
      </w:r>
      <w:proofErr w:type="spellEnd"/>
      <w:r w:rsidRPr="006E61DB">
        <w:rPr>
          <w:rFonts w:ascii="Book Antiqua" w:hAnsi="Book Antiqua" w:cs="Arial"/>
          <w:sz w:val="28"/>
          <w:szCs w:val="28"/>
        </w:rPr>
        <w:t xml:space="preserve">, París, 1882. </w:t>
      </w:r>
    </w:p>
    <w:p w14:paraId="5FD22371"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lang w:val="en-US"/>
        </w:rPr>
        <w:t>MOMMSEN, Th.</w:t>
      </w:r>
      <w:r>
        <w:rPr>
          <w:rFonts w:ascii="Book Antiqua" w:hAnsi="Book Antiqua" w:cs="Arial"/>
          <w:sz w:val="28"/>
          <w:szCs w:val="28"/>
          <w:lang w:val="en-US"/>
        </w:rPr>
        <w:t>,</w:t>
      </w:r>
      <w:r w:rsidRPr="006E61DB">
        <w:rPr>
          <w:rFonts w:ascii="Book Antiqua" w:hAnsi="Book Antiqua" w:cs="Arial"/>
          <w:sz w:val="28"/>
          <w:szCs w:val="28"/>
          <w:lang w:val="en-US"/>
        </w:rPr>
        <w:t xml:space="preserve"> </w:t>
      </w:r>
      <w:r w:rsidRPr="006E61DB">
        <w:rPr>
          <w:rFonts w:ascii="Book Antiqua" w:hAnsi="Book Antiqua" w:cs="Arial"/>
          <w:i/>
          <w:sz w:val="28"/>
          <w:szCs w:val="28"/>
          <w:lang w:val="en-US"/>
        </w:rPr>
        <w:t xml:space="preserve">Le droit public </w:t>
      </w:r>
      <w:proofErr w:type="spellStart"/>
      <w:r w:rsidRPr="006E61DB">
        <w:rPr>
          <w:rFonts w:ascii="Book Antiqua" w:hAnsi="Book Antiqua" w:cs="Arial"/>
          <w:i/>
          <w:sz w:val="28"/>
          <w:szCs w:val="28"/>
          <w:lang w:val="en-US"/>
        </w:rPr>
        <w:t>romain</w:t>
      </w:r>
      <w:proofErr w:type="spellEnd"/>
      <w:r w:rsidRPr="006E61DB">
        <w:rPr>
          <w:rFonts w:ascii="Book Antiqua" w:hAnsi="Book Antiqua" w:cs="Arial"/>
          <w:i/>
          <w:sz w:val="28"/>
          <w:szCs w:val="28"/>
          <w:lang w:val="en-US"/>
        </w:rPr>
        <w:t xml:space="preserve">, </w:t>
      </w:r>
      <w:r w:rsidRPr="006E61DB">
        <w:rPr>
          <w:rFonts w:ascii="Book Antiqua" w:hAnsi="Book Antiqua" w:cs="Arial"/>
          <w:sz w:val="28"/>
          <w:szCs w:val="28"/>
          <w:lang w:val="en-US"/>
        </w:rPr>
        <w:t xml:space="preserve">(trad. </w:t>
      </w:r>
      <w:r w:rsidRPr="00D14817">
        <w:rPr>
          <w:rFonts w:ascii="Book Antiqua" w:hAnsi="Book Antiqua" w:cs="Arial"/>
          <w:sz w:val="28"/>
          <w:szCs w:val="28"/>
        </w:rPr>
        <w:t>Paul Frédéric Girard), París, 1887 (</w:t>
      </w:r>
      <w:proofErr w:type="spellStart"/>
      <w:r w:rsidRPr="00D14817">
        <w:rPr>
          <w:rFonts w:ascii="Book Antiqua" w:hAnsi="Book Antiqua" w:cs="Arial"/>
          <w:sz w:val="28"/>
          <w:szCs w:val="28"/>
        </w:rPr>
        <w:t>reimp</w:t>
      </w:r>
      <w:proofErr w:type="spellEnd"/>
      <w:r w:rsidRPr="00D14817">
        <w:rPr>
          <w:rFonts w:ascii="Book Antiqua" w:hAnsi="Book Antiqua" w:cs="Arial"/>
          <w:sz w:val="28"/>
          <w:szCs w:val="28"/>
        </w:rPr>
        <w:t xml:space="preserve">. </w:t>
      </w:r>
      <w:r w:rsidRPr="006E61DB">
        <w:rPr>
          <w:rFonts w:ascii="Book Antiqua" w:hAnsi="Book Antiqua" w:cs="Arial"/>
          <w:sz w:val="28"/>
          <w:szCs w:val="28"/>
        </w:rPr>
        <w:t xml:space="preserve">1984). </w:t>
      </w:r>
    </w:p>
    <w:p w14:paraId="1BA67F11" w14:textId="77777777" w:rsidR="004A00AB" w:rsidRPr="006E61DB" w:rsidRDefault="004A00AB" w:rsidP="004A00AB">
      <w:pPr>
        <w:shd w:val="clear" w:color="auto" w:fill="FFFFFF"/>
        <w:spacing w:before="120" w:after="120"/>
        <w:jc w:val="both"/>
        <w:textAlignment w:val="baseline"/>
        <w:rPr>
          <w:rFonts w:ascii="Book Antiqua" w:hAnsi="Book Antiqua"/>
          <w:sz w:val="28"/>
          <w:szCs w:val="28"/>
        </w:rPr>
      </w:pPr>
      <w:r w:rsidRPr="006E61DB">
        <w:rPr>
          <w:rFonts w:ascii="Book Antiqua" w:hAnsi="Book Antiqua"/>
          <w:sz w:val="28"/>
          <w:szCs w:val="28"/>
        </w:rPr>
        <w:t>MURILLO VILLAR, A.</w:t>
      </w:r>
      <w:r>
        <w:rPr>
          <w:rFonts w:ascii="Book Antiqua" w:hAnsi="Book Antiqua"/>
          <w:sz w:val="28"/>
          <w:szCs w:val="28"/>
        </w:rPr>
        <w:t>,</w:t>
      </w:r>
      <w:r w:rsidRPr="006E61DB">
        <w:rPr>
          <w:rFonts w:ascii="Book Antiqua" w:hAnsi="Book Antiqua"/>
          <w:sz w:val="28"/>
          <w:szCs w:val="28"/>
        </w:rPr>
        <w:t xml:space="preserve"> </w:t>
      </w:r>
      <w:r w:rsidRPr="006E61DB">
        <w:rPr>
          <w:rFonts w:ascii="Book Antiqua" w:hAnsi="Book Antiqua"/>
          <w:sz w:val="28"/>
          <w:szCs w:val="28"/>
          <w:shd w:val="clear" w:color="auto" w:fill="FFFFFF"/>
        </w:rPr>
        <w:t>“El Derecho Romano como Elemento de Armonización del Nuevo Derecho Común Europeo”,</w:t>
      </w:r>
      <w:r>
        <w:rPr>
          <w:rFonts w:ascii="Book Antiqua" w:hAnsi="Book Antiqua"/>
          <w:sz w:val="28"/>
          <w:szCs w:val="28"/>
          <w:shd w:val="clear" w:color="auto" w:fill="FFFFFF"/>
        </w:rPr>
        <w:t xml:space="preserve"> en</w:t>
      </w:r>
      <w:r w:rsidRPr="006E61DB">
        <w:rPr>
          <w:rFonts w:ascii="Book Antiqua" w:hAnsi="Book Antiqua"/>
          <w:sz w:val="28"/>
          <w:szCs w:val="28"/>
          <w:shd w:val="clear" w:color="auto" w:fill="FFFFFF"/>
        </w:rPr>
        <w:t> </w:t>
      </w:r>
      <w:r w:rsidRPr="006E61DB">
        <w:rPr>
          <w:rFonts w:ascii="Book Antiqua" w:hAnsi="Book Antiqua"/>
          <w:i/>
          <w:iCs/>
          <w:sz w:val="28"/>
          <w:szCs w:val="28"/>
          <w:shd w:val="clear" w:color="auto" w:fill="FFFFFF"/>
        </w:rPr>
        <w:t>Revista Jurídica Da FA7</w:t>
      </w:r>
      <w:r w:rsidRPr="006E61DB">
        <w:rPr>
          <w:rFonts w:ascii="Book Antiqua" w:hAnsi="Book Antiqua"/>
          <w:sz w:val="28"/>
          <w:szCs w:val="28"/>
          <w:shd w:val="clear" w:color="auto" w:fill="FFFFFF"/>
        </w:rPr>
        <w:t>, </w:t>
      </w:r>
      <w:r w:rsidRPr="006E61DB">
        <w:rPr>
          <w:rFonts w:ascii="Book Antiqua" w:hAnsi="Book Antiqua"/>
          <w:i/>
          <w:iCs/>
          <w:sz w:val="28"/>
          <w:szCs w:val="28"/>
          <w:shd w:val="clear" w:color="auto" w:fill="FFFFFF"/>
        </w:rPr>
        <w:t>7</w:t>
      </w:r>
      <w:r w:rsidRPr="006E61DB">
        <w:rPr>
          <w:rFonts w:ascii="Book Antiqua" w:hAnsi="Book Antiqua"/>
          <w:sz w:val="28"/>
          <w:szCs w:val="28"/>
          <w:shd w:val="clear" w:color="auto" w:fill="FFFFFF"/>
        </w:rPr>
        <w:t>(1).</w:t>
      </w:r>
      <w:r w:rsidRPr="006E61DB">
        <w:rPr>
          <w:rFonts w:ascii="Book Antiqua" w:hAnsi="Book Antiqua"/>
          <w:sz w:val="28"/>
          <w:szCs w:val="28"/>
        </w:rPr>
        <w:t xml:space="preserve"> </w:t>
      </w:r>
    </w:p>
    <w:p w14:paraId="5D6580EC"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 xml:space="preserve">PUGLIESE, G., </w:t>
      </w:r>
      <w:proofErr w:type="spellStart"/>
      <w:r w:rsidRPr="006E61DB">
        <w:rPr>
          <w:rFonts w:ascii="Book Antiqua" w:hAnsi="Book Antiqua" w:cs="Arial"/>
          <w:i/>
          <w:sz w:val="28"/>
          <w:szCs w:val="28"/>
        </w:rPr>
        <w:t>Il</w:t>
      </w:r>
      <w:proofErr w:type="spellEnd"/>
      <w:r w:rsidRPr="006E61DB">
        <w:rPr>
          <w:rFonts w:ascii="Book Antiqua" w:hAnsi="Book Antiqua" w:cs="Arial"/>
          <w:i/>
          <w:sz w:val="28"/>
          <w:szCs w:val="28"/>
        </w:rPr>
        <w:t xml:space="preserve"> proceso </w:t>
      </w:r>
      <w:proofErr w:type="spellStart"/>
      <w:r w:rsidRPr="006E61DB">
        <w:rPr>
          <w:rFonts w:ascii="Book Antiqua" w:hAnsi="Book Antiqua" w:cs="Arial"/>
          <w:i/>
          <w:sz w:val="28"/>
          <w:szCs w:val="28"/>
        </w:rPr>
        <w:t>civile</w:t>
      </w:r>
      <w:proofErr w:type="spellEnd"/>
      <w:r w:rsidRPr="006E61DB">
        <w:rPr>
          <w:rFonts w:ascii="Book Antiqua" w:hAnsi="Book Antiqua" w:cs="Arial"/>
          <w:i/>
          <w:sz w:val="28"/>
          <w:szCs w:val="28"/>
        </w:rPr>
        <w:t xml:space="preserve"> romano</w:t>
      </w:r>
      <w:r w:rsidRPr="006E61DB">
        <w:rPr>
          <w:rFonts w:ascii="Book Antiqua" w:hAnsi="Book Antiqua" w:cs="Arial"/>
          <w:sz w:val="28"/>
          <w:szCs w:val="28"/>
        </w:rPr>
        <w:t xml:space="preserve">, Milán, 1961; </w:t>
      </w:r>
    </w:p>
    <w:p w14:paraId="1A0FBE18"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lastRenderedPageBreak/>
        <w:t>ROBLES REYES, J. R.,</w:t>
      </w:r>
      <w:r w:rsidRPr="006E61DB">
        <w:rPr>
          <w:rFonts w:ascii="Book Antiqua" w:hAnsi="Book Antiqua" w:cs="Arial"/>
          <w:i/>
          <w:sz w:val="28"/>
          <w:szCs w:val="28"/>
        </w:rPr>
        <w:t xml:space="preserve"> La competencia jurisdiccional y judicial</w:t>
      </w:r>
      <w:r w:rsidRPr="006E61DB">
        <w:rPr>
          <w:rFonts w:ascii="Book Antiqua" w:hAnsi="Book Antiqua" w:cs="Arial"/>
          <w:sz w:val="28"/>
          <w:szCs w:val="28"/>
        </w:rPr>
        <w:t xml:space="preserve"> </w:t>
      </w:r>
      <w:r w:rsidRPr="006E61DB">
        <w:rPr>
          <w:rFonts w:ascii="Book Antiqua" w:hAnsi="Book Antiqua" w:cs="Arial"/>
          <w:i/>
          <w:sz w:val="28"/>
          <w:szCs w:val="28"/>
        </w:rPr>
        <w:t>en Roma</w:t>
      </w:r>
      <w:r w:rsidRPr="006E61DB">
        <w:rPr>
          <w:rFonts w:ascii="Book Antiqua" w:hAnsi="Book Antiqua" w:cs="Arial"/>
          <w:sz w:val="28"/>
          <w:szCs w:val="28"/>
        </w:rPr>
        <w:t xml:space="preserve">, Murcia, 2003. </w:t>
      </w:r>
    </w:p>
    <w:p w14:paraId="68FC68D2" w14:textId="77777777" w:rsidR="004A00AB" w:rsidRPr="006E61DB" w:rsidRDefault="004A00AB" w:rsidP="004A00AB">
      <w:pPr>
        <w:shd w:val="clear" w:color="auto" w:fill="FFFFFF"/>
        <w:spacing w:before="120" w:after="120"/>
        <w:jc w:val="both"/>
        <w:textAlignment w:val="baseline"/>
        <w:rPr>
          <w:rFonts w:ascii="Book Antiqua" w:hAnsi="Book Antiqua"/>
          <w:sz w:val="28"/>
          <w:szCs w:val="28"/>
        </w:rPr>
      </w:pPr>
      <w:r w:rsidRPr="006E61DB">
        <w:rPr>
          <w:rFonts w:ascii="Book Antiqua" w:hAnsi="Book Antiqua"/>
          <w:sz w:val="28"/>
          <w:szCs w:val="28"/>
        </w:rPr>
        <w:t>TORRENT, A.</w:t>
      </w:r>
      <w:r w:rsidRPr="006E61DB">
        <w:rPr>
          <w:rFonts w:ascii="Book Antiqua" w:hAnsi="Book Antiqua"/>
          <w:i/>
          <w:sz w:val="28"/>
          <w:szCs w:val="28"/>
        </w:rPr>
        <w:t xml:space="preserve">, Fundamentos del Derecho europeo ciencia del Derecho: Derecho romano-Ius </w:t>
      </w:r>
      <w:proofErr w:type="spellStart"/>
      <w:r w:rsidRPr="006E61DB">
        <w:rPr>
          <w:rFonts w:ascii="Book Antiqua" w:hAnsi="Book Antiqua"/>
          <w:i/>
          <w:sz w:val="28"/>
          <w:szCs w:val="28"/>
        </w:rPr>
        <w:t>Commune</w:t>
      </w:r>
      <w:proofErr w:type="spellEnd"/>
      <w:r w:rsidRPr="006E61DB">
        <w:rPr>
          <w:rFonts w:ascii="Book Antiqua" w:hAnsi="Book Antiqua"/>
          <w:i/>
          <w:sz w:val="28"/>
          <w:szCs w:val="28"/>
        </w:rPr>
        <w:t>-Derecho comparado</w:t>
      </w:r>
      <w:r w:rsidRPr="006E61DB">
        <w:rPr>
          <w:rFonts w:ascii="Book Antiqua" w:hAnsi="Book Antiqua"/>
          <w:sz w:val="28"/>
          <w:szCs w:val="28"/>
        </w:rPr>
        <w:t>, Madrid, 2007.</w:t>
      </w:r>
    </w:p>
    <w:p w14:paraId="364E32C8" w14:textId="77777777" w:rsidR="004A00AB" w:rsidRPr="006E61DB" w:rsidRDefault="004A00AB" w:rsidP="004A00AB">
      <w:pPr>
        <w:pStyle w:val="Textonotapie"/>
        <w:spacing w:before="120" w:after="120"/>
        <w:rPr>
          <w:rFonts w:ascii="Book Antiqua" w:hAnsi="Book Antiqua" w:cs="Arial"/>
          <w:sz w:val="28"/>
          <w:szCs w:val="28"/>
        </w:rPr>
      </w:pPr>
      <w:r w:rsidRPr="006E61DB">
        <w:rPr>
          <w:rFonts w:ascii="Book Antiqua" w:hAnsi="Book Antiqua" w:cs="Arial"/>
          <w:sz w:val="28"/>
          <w:szCs w:val="28"/>
        </w:rPr>
        <w:t>TORRENT, A.</w:t>
      </w:r>
      <w:r>
        <w:rPr>
          <w:rFonts w:ascii="Book Antiqua" w:hAnsi="Book Antiqua" w:cs="Arial"/>
          <w:sz w:val="28"/>
          <w:szCs w:val="28"/>
        </w:rPr>
        <w:t>,</w:t>
      </w:r>
      <w:r w:rsidRPr="006E61DB">
        <w:rPr>
          <w:rFonts w:ascii="Book Antiqua" w:hAnsi="Book Antiqua" w:cs="Arial"/>
          <w:sz w:val="28"/>
          <w:szCs w:val="28"/>
        </w:rPr>
        <w:t xml:space="preserve"> </w:t>
      </w:r>
      <w:r w:rsidRPr="006E61DB">
        <w:rPr>
          <w:rFonts w:ascii="Book Antiqua" w:hAnsi="Book Antiqua" w:cs="Arial"/>
          <w:i/>
          <w:sz w:val="28"/>
          <w:szCs w:val="28"/>
        </w:rPr>
        <w:t xml:space="preserve">La </w:t>
      </w:r>
      <w:proofErr w:type="spellStart"/>
      <w:r w:rsidRPr="006E61DB">
        <w:rPr>
          <w:rFonts w:ascii="Book Antiqua" w:hAnsi="Book Antiqua" w:cs="Arial"/>
          <w:i/>
          <w:sz w:val="28"/>
          <w:szCs w:val="28"/>
        </w:rPr>
        <w:t>iurisdictio</w:t>
      </w:r>
      <w:proofErr w:type="spellEnd"/>
      <w:r w:rsidRPr="006E61DB">
        <w:rPr>
          <w:rFonts w:ascii="Book Antiqua" w:hAnsi="Book Antiqua" w:cs="Arial"/>
          <w:i/>
          <w:sz w:val="28"/>
          <w:szCs w:val="28"/>
        </w:rPr>
        <w:t xml:space="preserve"> de los magistrados municipales</w:t>
      </w:r>
      <w:r w:rsidRPr="006E61DB">
        <w:rPr>
          <w:rFonts w:ascii="Book Antiqua" w:hAnsi="Book Antiqua" w:cs="Arial"/>
          <w:sz w:val="28"/>
          <w:szCs w:val="28"/>
        </w:rPr>
        <w:t>, Salamanca, 1970</w:t>
      </w:r>
    </w:p>
    <w:p w14:paraId="70FEEB1C" w14:textId="77777777" w:rsidR="004A00AB" w:rsidRPr="006E61DB" w:rsidRDefault="004A00AB" w:rsidP="004A00AB">
      <w:pPr>
        <w:pStyle w:val="Textonotapie"/>
        <w:spacing w:before="120" w:after="120"/>
        <w:rPr>
          <w:rFonts w:ascii="Book Antiqua" w:hAnsi="Book Antiqua" w:cs="Arial"/>
          <w:sz w:val="28"/>
          <w:szCs w:val="28"/>
          <w:u w:val="single"/>
        </w:rPr>
      </w:pPr>
      <w:proofErr w:type="spellStart"/>
      <w:r w:rsidRPr="006E61DB">
        <w:rPr>
          <w:rFonts w:ascii="Book Antiqua" w:hAnsi="Book Antiqua" w:cs="Arial"/>
          <w:sz w:val="28"/>
          <w:szCs w:val="28"/>
        </w:rPr>
        <w:t>SCIALOIA</w:t>
      </w:r>
      <w:proofErr w:type="spellEnd"/>
      <w:r w:rsidRPr="006E61DB">
        <w:rPr>
          <w:rFonts w:ascii="Book Antiqua" w:hAnsi="Book Antiqua" w:cs="Arial"/>
          <w:sz w:val="28"/>
          <w:szCs w:val="28"/>
        </w:rPr>
        <w:t xml:space="preserve">, V., </w:t>
      </w:r>
      <w:proofErr w:type="spellStart"/>
      <w:r w:rsidRPr="00D930BB">
        <w:rPr>
          <w:rFonts w:ascii="Book Antiqua" w:hAnsi="Book Antiqua" w:cs="Arial"/>
          <w:i/>
          <w:iCs/>
          <w:sz w:val="28"/>
          <w:szCs w:val="28"/>
        </w:rPr>
        <w:t>Procedura</w:t>
      </w:r>
      <w:proofErr w:type="spellEnd"/>
      <w:r w:rsidRPr="00D930BB">
        <w:rPr>
          <w:rFonts w:ascii="Book Antiqua" w:hAnsi="Book Antiqua" w:cs="Arial"/>
          <w:i/>
          <w:iCs/>
          <w:sz w:val="28"/>
          <w:szCs w:val="28"/>
        </w:rPr>
        <w:t xml:space="preserve"> </w:t>
      </w:r>
      <w:proofErr w:type="spellStart"/>
      <w:r w:rsidRPr="00D930BB">
        <w:rPr>
          <w:rFonts w:ascii="Book Antiqua" w:hAnsi="Book Antiqua" w:cs="Arial"/>
          <w:i/>
          <w:iCs/>
          <w:sz w:val="28"/>
          <w:szCs w:val="28"/>
        </w:rPr>
        <w:t>civile</w:t>
      </w:r>
      <w:proofErr w:type="spellEnd"/>
      <w:r w:rsidRPr="00D930BB">
        <w:rPr>
          <w:rFonts w:ascii="Book Antiqua" w:hAnsi="Book Antiqua" w:cs="Arial"/>
          <w:i/>
          <w:iCs/>
          <w:sz w:val="28"/>
          <w:szCs w:val="28"/>
        </w:rPr>
        <w:t xml:space="preserve"> romana</w:t>
      </w:r>
      <w:r w:rsidRPr="00D930BB">
        <w:rPr>
          <w:rFonts w:ascii="Book Antiqua" w:hAnsi="Book Antiqua" w:cs="Arial"/>
          <w:sz w:val="28"/>
          <w:szCs w:val="28"/>
        </w:rPr>
        <w:t>, Roma, 1935.</w:t>
      </w:r>
    </w:p>
    <w:p w14:paraId="7E8E83CF" w14:textId="77777777" w:rsidR="004A00AB" w:rsidRPr="00D14817" w:rsidRDefault="004A00AB" w:rsidP="004A00AB">
      <w:pPr>
        <w:pStyle w:val="Textonotapie"/>
        <w:spacing w:before="120" w:after="120"/>
        <w:rPr>
          <w:rFonts w:ascii="Book Antiqua" w:hAnsi="Book Antiqua" w:cs="Arial"/>
          <w:sz w:val="28"/>
          <w:szCs w:val="28"/>
          <w:lang w:val="en-US"/>
        </w:rPr>
      </w:pPr>
      <w:r w:rsidRPr="006E61DB">
        <w:rPr>
          <w:rFonts w:ascii="Book Antiqua" w:hAnsi="Book Antiqua" w:cs="Arial"/>
          <w:sz w:val="28"/>
          <w:szCs w:val="28"/>
        </w:rPr>
        <w:t xml:space="preserve"> </w:t>
      </w:r>
      <w:r w:rsidRPr="00D14817">
        <w:rPr>
          <w:rFonts w:ascii="Book Antiqua" w:hAnsi="Book Antiqua" w:cs="Arial"/>
          <w:sz w:val="28"/>
          <w:szCs w:val="28"/>
          <w:lang w:val="en-US"/>
        </w:rPr>
        <w:t xml:space="preserve">ZIEGLER, K., </w:t>
      </w:r>
      <w:proofErr w:type="spellStart"/>
      <w:r w:rsidRPr="00D14817">
        <w:rPr>
          <w:rFonts w:ascii="Book Antiqua" w:hAnsi="Book Antiqua" w:cs="Arial"/>
          <w:sz w:val="28"/>
          <w:szCs w:val="28"/>
          <w:lang w:val="en-US"/>
        </w:rPr>
        <w:t>Kompetenzvereinvarungen</w:t>
      </w:r>
      <w:proofErr w:type="spellEnd"/>
      <w:r w:rsidRPr="00D14817">
        <w:rPr>
          <w:rFonts w:ascii="Book Antiqua" w:hAnsi="Book Antiqua" w:cs="Arial"/>
          <w:sz w:val="28"/>
          <w:szCs w:val="28"/>
          <w:lang w:val="en-US"/>
        </w:rPr>
        <w:t xml:space="preserve"> in </w:t>
      </w:r>
      <w:proofErr w:type="spellStart"/>
      <w:r w:rsidRPr="00D14817">
        <w:rPr>
          <w:rFonts w:ascii="Book Antiqua" w:hAnsi="Book Antiqua" w:cs="Arial"/>
          <w:sz w:val="28"/>
          <w:szCs w:val="28"/>
          <w:lang w:val="en-US"/>
        </w:rPr>
        <w:t>römisches</w:t>
      </w:r>
      <w:proofErr w:type="spellEnd"/>
      <w:r w:rsidRPr="00D14817">
        <w:rPr>
          <w:rFonts w:ascii="Book Antiqua" w:hAnsi="Book Antiqua" w:cs="Arial"/>
          <w:sz w:val="28"/>
          <w:szCs w:val="28"/>
          <w:lang w:val="en-US"/>
        </w:rPr>
        <w:t xml:space="preserve"> </w:t>
      </w:r>
      <w:proofErr w:type="spellStart"/>
      <w:r w:rsidRPr="00D14817">
        <w:rPr>
          <w:rFonts w:ascii="Book Antiqua" w:hAnsi="Book Antiqua" w:cs="Arial"/>
          <w:sz w:val="28"/>
          <w:szCs w:val="28"/>
          <w:lang w:val="en-US"/>
        </w:rPr>
        <w:t>Zivilprozesrecht</w:t>
      </w:r>
      <w:proofErr w:type="spellEnd"/>
      <w:r w:rsidRPr="00D14817">
        <w:rPr>
          <w:rFonts w:ascii="Book Antiqua" w:hAnsi="Book Antiqua" w:cs="Arial"/>
          <w:sz w:val="28"/>
          <w:szCs w:val="28"/>
          <w:lang w:val="en-US"/>
        </w:rPr>
        <w:t xml:space="preserve">, en Festschrift </w:t>
      </w:r>
      <w:proofErr w:type="spellStart"/>
      <w:r w:rsidRPr="00D14817">
        <w:rPr>
          <w:rFonts w:ascii="Book Antiqua" w:hAnsi="Book Antiqua" w:cs="Arial"/>
          <w:sz w:val="28"/>
          <w:szCs w:val="28"/>
          <w:lang w:val="en-US"/>
        </w:rPr>
        <w:t>Kasser</w:t>
      </w:r>
      <w:proofErr w:type="spellEnd"/>
      <w:r w:rsidRPr="00D14817">
        <w:rPr>
          <w:rFonts w:ascii="Book Antiqua" w:hAnsi="Book Antiqua" w:cs="Arial"/>
          <w:sz w:val="28"/>
          <w:szCs w:val="28"/>
          <w:lang w:val="en-US"/>
        </w:rPr>
        <w:t xml:space="preserve">, Munich, 1976. </w:t>
      </w:r>
    </w:p>
    <w:p w14:paraId="3C63991B" w14:textId="77777777" w:rsidR="004A00AB" w:rsidRPr="006E61DB" w:rsidRDefault="004A00AB" w:rsidP="004A00AB">
      <w:pPr>
        <w:shd w:val="clear" w:color="auto" w:fill="FFFFFF"/>
        <w:spacing w:before="120" w:after="120"/>
        <w:jc w:val="both"/>
        <w:textAlignment w:val="baseline"/>
        <w:rPr>
          <w:rFonts w:ascii="Book Antiqua" w:hAnsi="Book Antiqua"/>
          <w:sz w:val="28"/>
          <w:szCs w:val="28"/>
        </w:rPr>
      </w:pPr>
      <w:r w:rsidRPr="006E61DB">
        <w:rPr>
          <w:rFonts w:ascii="Book Antiqua" w:hAnsi="Book Antiqua"/>
          <w:sz w:val="28"/>
          <w:szCs w:val="28"/>
        </w:rPr>
        <w:t xml:space="preserve">ZIMMERMANN R., “Derecho Romano y Cultura Europea”, en </w:t>
      </w:r>
      <w:r w:rsidRPr="006E61DB">
        <w:rPr>
          <w:rFonts w:ascii="Book Antiqua" w:hAnsi="Book Antiqua"/>
          <w:i/>
          <w:iCs/>
          <w:sz w:val="28"/>
          <w:szCs w:val="28"/>
        </w:rPr>
        <w:t>Revista de Derecho Privado</w:t>
      </w:r>
      <w:r w:rsidRPr="006E61DB">
        <w:rPr>
          <w:rFonts w:ascii="Book Antiqua" w:hAnsi="Book Antiqua"/>
          <w:sz w:val="28"/>
          <w:szCs w:val="28"/>
        </w:rPr>
        <w:t xml:space="preserve"> n.º 18.</w:t>
      </w:r>
      <w:r>
        <w:rPr>
          <w:rFonts w:ascii="Book Antiqua" w:hAnsi="Book Antiqua"/>
          <w:sz w:val="28"/>
          <w:szCs w:val="28"/>
        </w:rPr>
        <w:t xml:space="preserve"> Bogotá</w:t>
      </w:r>
      <w:r w:rsidRPr="006E61DB">
        <w:rPr>
          <w:rFonts w:ascii="Book Antiqua" w:hAnsi="Book Antiqua"/>
          <w:sz w:val="28"/>
          <w:szCs w:val="28"/>
        </w:rPr>
        <w:t xml:space="preserve">, 2010.  </w:t>
      </w:r>
    </w:p>
    <w:p w14:paraId="53F572DB" w14:textId="77777777" w:rsidR="004A00AB" w:rsidRPr="006E61DB" w:rsidRDefault="004A00AB" w:rsidP="004A00AB">
      <w:pPr>
        <w:shd w:val="clear" w:color="auto" w:fill="FFFFFF"/>
        <w:spacing w:before="120" w:after="120"/>
        <w:jc w:val="both"/>
        <w:textAlignment w:val="baseline"/>
        <w:rPr>
          <w:rFonts w:ascii="Book Antiqua" w:hAnsi="Book Antiqua"/>
          <w:sz w:val="28"/>
          <w:szCs w:val="28"/>
        </w:rPr>
      </w:pPr>
      <w:r w:rsidRPr="006E61DB">
        <w:rPr>
          <w:rFonts w:ascii="Book Antiqua" w:hAnsi="Book Antiqua"/>
          <w:sz w:val="28"/>
          <w:szCs w:val="28"/>
        </w:rPr>
        <w:t>ZIMMERMAN, R.</w:t>
      </w:r>
      <w:proofErr w:type="gramStart"/>
      <w:r w:rsidRPr="006E61DB">
        <w:rPr>
          <w:rFonts w:ascii="Book Antiqua" w:hAnsi="Book Antiqua"/>
          <w:sz w:val="28"/>
          <w:szCs w:val="28"/>
        </w:rPr>
        <w:t xml:space="preserve">,  </w:t>
      </w:r>
      <w:r w:rsidRPr="006E61DB">
        <w:rPr>
          <w:rFonts w:ascii="Book Antiqua" w:hAnsi="Book Antiqua"/>
          <w:i/>
          <w:iCs/>
          <w:sz w:val="28"/>
          <w:szCs w:val="28"/>
        </w:rPr>
        <w:t>Estudios</w:t>
      </w:r>
      <w:proofErr w:type="gramEnd"/>
      <w:r w:rsidRPr="006E61DB">
        <w:rPr>
          <w:rFonts w:ascii="Book Antiqua" w:hAnsi="Book Antiqua"/>
          <w:i/>
          <w:iCs/>
          <w:sz w:val="28"/>
          <w:szCs w:val="28"/>
        </w:rPr>
        <w:t xml:space="preserve"> de Derecho Privado Europeo</w:t>
      </w:r>
      <w:r w:rsidRPr="006E61DB">
        <w:rPr>
          <w:rFonts w:ascii="Book Antiqua" w:hAnsi="Book Antiqua"/>
          <w:sz w:val="28"/>
          <w:szCs w:val="28"/>
        </w:rPr>
        <w:t xml:space="preserve">, trad. Antoni </w:t>
      </w:r>
      <w:proofErr w:type="spellStart"/>
      <w:r w:rsidRPr="006E61DB">
        <w:rPr>
          <w:rFonts w:ascii="Book Antiqua" w:hAnsi="Book Antiqua"/>
          <w:sz w:val="28"/>
          <w:szCs w:val="28"/>
        </w:rPr>
        <w:t>Vaquer</w:t>
      </w:r>
      <w:proofErr w:type="spellEnd"/>
      <w:r w:rsidRPr="006E61DB">
        <w:rPr>
          <w:rFonts w:ascii="Book Antiqua" w:hAnsi="Book Antiqua"/>
          <w:sz w:val="28"/>
          <w:szCs w:val="28"/>
        </w:rPr>
        <w:t xml:space="preserve"> </w:t>
      </w:r>
      <w:proofErr w:type="spellStart"/>
      <w:r w:rsidRPr="006E61DB">
        <w:rPr>
          <w:rFonts w:ascii="Book Antiqua" w:hAnsi="Book Antiqua"/>
          <w:sz w:val="28"/>
          <w:szCs w:val="28"/>
        </w:rPr>
        <w:t>Aloy</w:t>
      </w:r>
      <w:proofErr w:type="spellEnd"/>
      <w:r w:rsidRPr="006E61DB">
        <w:rPr>
          <w:rFonts w:ascii="Book Antiqua" w:hAnsi="Book Antiqua"/>
          <w:sz w:val="28"/>
          <w:szCs w:val="28"/>
        </w:rPr>
        <w:t>, Madrid, 2000.</w:t>
      </w:r>
    </w:p>
    <w:p w14:paraId="44C0AA50" w14:textId="60989F1C" w:rsidR="00243FDD" w:rsidRPr="00310021" w:rsidRDefault="00243FDD" w:rsidP="004A00AB">
      <w:pPr>
        <w:jc w:val="both"/>
        <w:rPr>
          <w:sz w:val="24"/>
          <w:szCs w:val="24"/>
        </w:rPr>
      </w:pPr>
    </w:p>
    <w:sectPr w:rsidR="00243FDD" w:rsidRPr="00310021" w:rsidSect="00197421">
      <w:pgSz w:w="11906" w:h="16838"/>
      <w:pgMar w:top="1417" w:right="1701" w:bottom="1417" w:left="170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FA04" w14:textId="77777777" w:rsidR="00AB63CF" w:rsidRDefault="00AB63CF" w:rsidP="008C2933">
      <w:r>
        <w:separator/>
      </w:r>
    </w:p>
  </w:endnote>
  <w:endnote w:type="continuationSeparator" w:id="0">
    <w:p w14:paraId="16BD0929" w14:textId="77777777" w:rsidR="00AB63CF" w:rsidRDefault="00AB63CF" w:rsidP="008C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egacy Serif Std Ultra">
    <w:altName w:val="Cambria"/>
    <w:panose1 w:val="00000000000000000000"/>
    <w:charset w:val="00"/>
    <w:family w:val="roman"/>
    <w:notTrueType/>
    <w:pitch w:val="default"/>
    <w:sig w:usb0="00000003" w:usb1="00000000" w:usb2="00000000" w:usb3="00000000" w:csb0="00000001"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3A6" w14:textId="77777777" w:rsidR="0026463A" w:rsidRPr="00575480" w:rsidRDefault="0026463A">
    <w:pPr>
      <w:pStyle w:val="Piedepgina"/>
      <w:jc w:val="center"/>
      <w:rPr>
        <w:rFonts w:ascii="Book Antiqua" w:hAnsi="Book Antiqua"/>
        <w:caps/>
        <w:sz w:val="22"/>
        <w:szCs w:val="22"/>
      </w:rPr>
    </w:pPr>
    <w:r w:rsidRPr="00575480">
      <w:rPr>
        <w:rFonts w:ascii="Book Antiqua" w:hAnsi="Book Antiqua"/>
        <w:caps/>
        <w:sz w:val="22"/>
        <w:szCs w:val="22"/>
      </w:rPr>
      <w:fldChar w:fldCharType="begin"/>
    </w:r>
    <w:r w:rsidRPr="00575480">
      <w:rPr>
        <w:rFonts w:ascii="Book Antiqua" w:hAnsi="Book Antiqua"/>
        <w:caps/>
        <w:sz w:val="22"/>
        <w:szCs w:val="22"/>
      </w:rPr>
      <w:instrText>PAGE   \* MERGEFORMAT</w:instrText>
    </w:r>
    <w:r w:rsidRPr="00575480">
      <w:rPr>
        <w:rFonts w:ascii="Book Antiqua" w:hAnsi="Book Antiqua"/>
        <w:caps/>
        <w:sz w:val="22"/>
        <w:szCs w:val="22"/>
      </w:rPr>
      <w:fldChar w:fldCharType="separate"/>
    </w:r>
    <w:r w:rsidRPr="00575480">
      <w:rPr>
        <w:rFonts w:ascii="Book Antiqua" w:hAnsi="Book Antiqua"/>
        <w:caps/>
        <w:sz w:val="22"/>
        <w:szCs w:val="22"/>
      </w:rPr>
      <w:t>2</w:t>
    </w:r>
    <w:r w:rsidRPr="00575480">
      <w:rPr>
        <w:rFonts w:ascii="Book Antiqua" w:hAnsi="Book Antiqua"/>
        <w:caps/>
        <w:sz w:val="22"/>
        <w:szCs w:val="22"/>
      </w:rPr>
      <w:fldChar w:fldCharType="end"/>
    </w:r>
  </w:p>
  <w:p w14:paraId="2CFFFAD0" w14:textId="77777777" w:rsidR="0026463A" w:rsidRDefault="0026463A" w:rsidP="006B2DB9">
    <w:pPr>
      <w:pStyle w:val="Piedepgina"/>
      <w:tabs>
        <w:tab w:val="clear" w:pos="4252"/>
        <w:tab w:val="clear" w:pos="8504"/>
        <w:tab w:val="left" w:pos="60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354639"/>
      <w:docPartObj>
        <w:docPartGallery w:val="Page Numbers (Bottom of Page)"/>
        <w:docPartUnique/>
      </w:docPartObj>
    </w:sdtPr>
    <w:sdtEndPr>
      <w:rPr>
        <w:color w:val="808080" w:themeColor="background1" w:themeShade="80"/>
      </w:rPr>
    </w:sdtEndPr>
    <w:sdtContent>
      <w:p w14:paraId="554FCB0E" w14:textId="036867BF" w:rsidR="0026463A" w:rsidRPr="008E5A1F" w:rsidRDefault="0026463A">
        <w:pPr>
          <w:pStyle w:val="Piedepgina"/>
          <w:jc w:val="center"/>
          <w:rPr>
            <w:color w:val="808080" w:themeColor="background1" w:themeShade="80"/>
          </w:rPr>
        </w:pPr>
        <w:r w:rsidRPr="008E5A1F">
          <w:rPr>
            <w:color w:val="808080" w:themeColor="background1" w:themeShade="80"/>
          </w:rPr>
          <w:fldChar w:fldCharType="begin"/>
        </w:r>
        <w:r w:rsidRPr="008E5A1F">
          <w:rPr>
            <w:color w:val="808080" w:themeColor="background1" w:themeShade="80"/>
          </w:rPr>
          <w:instrText>PAGE   \* MERGEFORMAT</w:instrText>
        </w:r>
        <w:r w:rsidRPr="008E5A1F">
          <w:rPr>
            <w:color w:val="808080" w:themeColor="background1" w:themeShade="80"/>
          </w:rPr>
          <w:fldChar w:fldCharType="separate"/>
        </w:r>
        <w:r w:rsidRPr="008E5A1F">
          <w:rPr>
            <w:color w:val="808080" w:themeColor="background1" w:themeShade="80"/>
          </w:rPr>
          <w:t>2</w:t>
        </w:r>
        <w:r w:rsidRPr="008E5A1F">
          <w:rPr>
            <w:color w:val="808080" w:themeColor="background1" w:themeShade="80"/>
          </w:rPr>
          <w:fldChar w:fldCharType="end"/>
        </w:r>
      </w:p>
    </w:sdtContent>
  </w:sdt>
  <w:p w14:paraId="029617C7" w14:textId="77777777" w:rsidR="0026463A" w:rsidRDefault="00264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B4CA" w14:textId="77777777" w:rsidR="00AB63CF" w:rsidRDefault="00AB63CF" w:rsidP="008C2933">
      <w:r>
        <w:separator/>
      </w:r>
    </w:p>
  </w:footnote>
  <w:footnote w:type="continuationSeparator" w:id="0">
    <w:p w14:paraId="275CADE4" w14:textId="77777777" w:rsidR="00AB63CF" w:rsidRDefault="00AB63CF" w:rsidP="008C2933">
      <w:r>
        <w:continuationSeparator/>
      </w:r>
    </w:p>
  </w:footnote>
  <w:footnote w:id="1">
    <w:p w14:paraId="0A44116E" w14:textId="77777777" w:rsidR="004A00AB" w:rsidRDefault="004A00AB" w:rsidP="004A00AB">
      <w:pPr>
        <w:pStyle w:val="Textonotapie"/>
      </w:pPr>
      <w:r>
        <w:rPr>
          <w:rStyle w:val="Refdenotaalpie"/>
        </w:rPr>
        <w:footnoteRef/>
      </w:r>
      <w:r>
        <w:t xml:space="preserve"> </w:t>
      </w:r>
      <w:r w:rsidRPr="00216D05">
        <w:t>El presente trabajo</w:t>
      </w:r>
      <w:r>
        <w:t xml:space="preserve">, </w:t>
      </w:r>
      <w:r w:rsidRPr="00216D05">
        <w:t>auspiciado por el Proyecto Fundación BBVA “</w:t>
      </w:r>
      <w:r w:rsidRPr="00216D05">
        <w:rPr>
          <w:rStyle w:val="nfasis"/>
          <w:bCs/>
        </w:rPr>
        <w:t>Los principios del Derecho Romano en el Derecho europeo del siglo XXI</w:t>
      </w:r>
      <w:r w:rsidRPr="00216D05">
        <w:t xml:space="preserve"> </w:t>
      </w:r>
      <w:r w:rsidRPr="00216D05">
        <w:rPr>
          <w:rStyle w:val="nfasis"/>
          <w:bCs/>
        </w:rPr>
        <w:t>-</w:t>
      </w:r>
      <w:r w:rsidRPr="00216D05">
        <w:t xml:space="preserve"> </w:t>
      </w:r>
      <w:r w:rsidRPr="00216D05">
        <w:rPr>
          <w:rStyle w:val="nfasis"/>
          <w:bCs/>
        </w:rPr>
        <w:t>Programa Logos Fundación BBVA de Ayudas a la Investigación en el Área de Estudios Clásicos</w:t>
      </w:r>
      <w:r>
        <w:rPr>
          <w:rStyle w:val="nfasis"/>
          <w:bCs/>
        </w:rPr>
        <w:t xml:space="preserve">”, </w:t>
      </w:r>
      <w:r w:rsidRPr="00FC378D">
        <w:rPr>
          <w:rStyle w:val="nfasis"/>
          <w:bCs/>
        </w:rPr>
        <w:t>se realiza</w:t>
      </w:r>
      <w:r>
        <w:t xml:space="preserve"> en homenaje al Catedrático de Derecho Civil, Dr. D. Juan Roca Guillamón, como muestra de gratitud y amistad.</w:t>
      </w:r>
    </w:p>
  </w:footnote>
  <w:footnote w:id="2">
    <w:p w14:paraId="705D6294" w14:textId="77777777" w:rsidR="004A00AB" w:rsidRPr="001571D9" w:rsidRDefault="004A00AB" w:rsidP="004A00AB">
      <w:pPr>
        <w:shd w:val="clear" w:color="auto" w:fill="FFFFFF"/>
        <w:spacing w:line="360" w:lineRule="auto"/>
        <w:jc w:val="both"/>
        <w:textAlignment w:val="baseline"/>
        <w:rPr>
          <w:rFonts w:ascii="Book Antiqua" w:hAnsi="Book Antiqua" w:cs="Times New Roman"/>
          <w:sz w:val="24"/>
          <w:szCs w:val="24"/>
        </w:rPr>
      </w:pPr>
      <w:r w:rsidRPr="00B85EA2">
        <w:rPr>
          <w:rFonts w:ascii="Book Antiqua" w:hAnsi="Book Antiqua" w:cs="Times New Roman"/>
          <w:sz w:val="24"/>
          <w:szCs w:val="24"/>
        </w:rPr>
        <w:t xml:space="preserve">3 </w:t>
      </w:r>
      <w:proofErr w:type="gramStart"/>
      <w:r w:rsidRPr="00B85EA2">
        <w:rPr>
          <w:rFonts w:ascii="Book Antiqua" w:hAnsi="Book Antiqua" w:cs="Times New Roman"/>
          <w:sz w:val="24"/>
          <w:szCs w:val="24"/>
        </w:rPr>
        <w:t>Sobre</w:t>
      </w:r>
      <w:proofErr w:type="gramEnd"/>
      <w:r w:rsidRPr="00B85EA2">
        <w:rPr>
          <w:rFonts w:ascii="Book Antiqua" w:hAnsi="Book Antiqua" w:cs="Times New Roman"/>
          <w:sz w:val="24"/>
          <w:szCs w:val="24"/>
        </w:rPr>
        <w:t xml:space="preserve"> las aportaciones del Derecho romano en la formación d</w:t>
      </w:r>
      <w:r w:rsidRPr="001571D9">
        <w:rPr>
          <w:rFonts w:ascii="Book Antiqua" w:hAnsi="Book Antiqua" w:cs="Times New Roman"/>
          <w:sz w:val="24"/>
          <w:szCs w:val="24"/>
        </w:rPr>
        <w:t>el derecho europeo, vid.  TORRENT, A.</w:t>
      </w:r>
      <w:r>
        <w:rPr>
          <w:rFonts w:ascii="Book Antiqua" w:hAnsi="Book Antiqua" w:cs="Times New Roman"/>
          <w:sz w:val="24"/>
          <w:szCs w:val="24"/>
        </w:rPr>
        <w:t>,</w:t>
      </w:r>
      <w:r w:rsidRPr="001571D9">
        <w:rPr>
          <w:rFonts w:ascii="Book Antiqua" w:hAnsi="Book Antiqua" w:cs="Times New Roman"/>
          <w:i/>
          <w:sz w:val="24"/>
          <w:szCs w:val="24"/>
        </w:rPr>
        <w:t xml:space="preserve"> Fundamentos del Derecho europeo. Ciencia del Derecho: Derecho romano-Ius </w:t>
      </w:r>
      <w:proofErr w:type="spellStart"/>
      <w:r w:rsidRPr="001571D9">
        <w:rPr>
          <w:rFonts w:ascii="Book Antiqua" w:hAnsi="Book Antiqua" w:cs="Times New Roman"/>
          <w:i/>
          <w:sz w:val="24"/>
          <w:szCs w:val="24"/>
        </w:rPr>
        <w:t>Commune</w:t>
      </w:r>
      <w:proofErr w:type="spellEnd"/>
      <w:r w:rsidRPr="001571D9">
        <w:rPr>
          <w:rFonts w:ascii="Book Antiqua" w:hAnsi="Book Antiqua" w:cs="Times New Roman"/>
          <w:i/>
          <w:sz w:val="24"/>
          <w:szCs w:val="24"/>
        </w:rPr>
        <w:t>-Derecho comparado</w:t>
      </w:r>
      <w:r>
        <w:rPr>
          <w:rFonts w:ascii="Book Antiqua" w:hAnsi="Book Antiqua" w:cs="Times New Roman"/>
          <w:sz w:val="24"/>
          <w:szCs w:val="24"/>
        </w:rPr>
        <w:t>,</w:t>
      </w:r>
      <w:r w:rsidRPr="001571D9">
        <w:rPr>
          <w:rFonts w:ascii="Book Antiqua" w:hAnsi="Book Antiqua" w:cs="Times New Roman"/>
          <w:sz w:val="24"/>
          <w:szCs w:val="24"/>
        </w:rPr>
        <w:t xml:space="preserve"> Madrid, 2007; FERNÁNDEZ DE BUJÁN, A., </w:t>
      </w:r>
      <w:r>
        <w:rPr>
          <w:rFonts w:ascii="Book Antiqua" w:hAnsi="Book Antiqua" w:cs="Times New Roman"/>
          <w:sz w:val="24"/>
          <w:szCs w:val="24"/>
        </w:rPr>
        <w:t>“</w:t>
      </w:r>
      <w:r w:rsidRPr="00E15217">
        <w:rPr>
          <w:rFonts w:ascii="Book Antiqua" w:hAnsi="Book Antiqua" w:cs="Times New Roman"/>
          <w:sz w:val="24"/>
          <w:szCs w:val="24"/>
        </w:rPr>
        <w:t xml:space="preserve">Ciencia jurídica europea y Derecho comunitario: Ius </w:t>
      </w:r>
      <w:proofErr w:type="spellStart"/>
      <w:r w:rsidRPr="00E15217">
        <w:rPr>
          <w:rFonts w:ascii="Book Antiqua" w:hAnsi="Book Antiqua" w:cs="Times New Roman"/>
          <w:sz w:val="24"/>
          <w:szCs w:val="24"/>
        </w:rPr>
        <w:t>romanum</w:t>
      </w:r>
      <w:proofErr w:type="spellEnd"/>
      <w:r w:rsidRPr="00E15217">
        <w:rPr>
          <w:rFonts w:ascii="Book Antiqua" w:hAnsi="Book Antiqua" w:cs="Times New Roman"/>
          <w:sz w:val="24"/>
          <w:szCs w:val="24"/>
        </w:rPr>
        <w:t xml:space="preserve">. Ius </w:t>
      </w:r>
      <w:proofErr w:type="spellStart"/>
      <w:r w:rsidRPr="00E15217">
        <w:rPr>
          <w:rFonts w:ascii="Book Antiqua" w:hAnsi="Book Antiqua" w:cs="Times New Roman"/>
          <w:sz w:val="24"/>
          <w:szCs w:val="24"/>
        </w:rPr>
        <w:t>commune</w:t>
      </w:r>
      <w:proofErr w:type="spellEnd"/>
      <w:r w:rsidRPr="00E15217">
        <w:rPr>
          <w:rFonts w:ascii="Book Antiqua" w:hAnsi="Book Antiqua" w:cs="Times New Roman"/>
          <w:sz w:val="24"/>
          <w:szCs w:val="24"/>
        </w:rPr>
        <w:t xml:space="preserve">. </w:t>
      </w:r>
      <w:proofErr w:type="spellStart"/>
      <w:r w:rsidRPr="00E15217">
        <w:rPr>
          <w:rFonts w:ascii="Book Antiqua" w:hAnsi="Book Antiqua" w:cs="Times New Roman"/>
          <w:sz w:val="24"/>
          <w:szCs w:val="24"/>
        </w:rPr>
        <w:t>Common</w:t>
      </w:r>
      <w:proofErr w:type="spellEnd"/>
      <w:r w:rsidRPr="00E15217">
        <w:rPr>
          <w:rFonts w:ascii="Book Antiqua" w:hAnsi="Book Antiqua" w:cs="Times New Roman"/>
          <w:sz w:val="24"/>
          <w:szCs w:val="24"/>
        </w:rPr>
        <w:t xml:space="preserve"> </w:t>
      </w:r>
      <w:proofErr w:type="spellStart"/>
      <w:r w:rsidRPr="00E15217">
        <w:rPr>
          <w:rFonts w:ascii="Book Antiqua" w:hAnsi="Book Antiqua" w:cs="Times New Roman"/>
          <w:sz w:val="24"/>
          <w:szCs w:val="24"/>
        </w:rPr>
        <w:t>law</w:t>
      </w:r>
      <w:proofErr w:type="spellEnd"/>
      <w:r w:rsidRPr="00E15217">
        <w:rPr>
          <w:rFonts w:ascii="Book Antiqua" w:hAnsi="Book Antiqua" w:cs="Times New Roman"/>
          <w:sz w:val="24"/>
          <w:szCs w:val="24"/>
        </w:rPr>
        <w:t xml:space="preserve">. Civil </w:t>
      </w:r>
      <w:proofErr w:type="spellStart"/>
      <w:r w:rsidRPr="00E15217">
        <w:rPr>
          <w:rFonts w:ascii="Book Antiqua" w:hAnsi="Book Antiqua" w:cs="Times New Roman"/>
          <w:sz w:val="24"/>
          <w:szCs w:val="24"/>
        </w:rPr>
        <w:t>law</w:t>
      </w:r>
      <w:proofErr w:type="spellEnd"/>
      <w:r>
        <w:rPr>
          <w:rFonts w:ascii="Book Antiqua" w:hAnsi="Book Antiqua" w:cs="Times New Roman"/>
          <w:sz w:val="24"/>
          <w:szCs w:val="24"/>
        </w:rPr>
        <w:t>”</w:t>
      </w:r>
      <w:r w:rsidRPr="001571D9">
        <w:rPr>
          <w:rFonts w:ascii="Book Antiqua" w:hAnsi="Book Antiqua" w:cs="Times New Roman"/>
          <w:i/>
          <w:sz w:val="24"/>
          <w:szCs w:val="24"/>
        </w:rPr>
        <w:t>,</w:t>
      </w:r>
      <w:r w:rsidRPr="001571D9">
        <w:rPr>
          <w:rFonts w:ascii="Book Antiqua" w:hAnsi="Book Antiqua"/>
          <w:sz w:val="24"/>
          <w:szCs w:val="24"/>
        </w:rPr>
        <w:t xml:space="preserve"> </w:t>
      </w:r>
      <w:r w:rsidRPr="001571D9">
        <w:rPr>
          <w:rFonts w:ascii="Book Antiqua" w:hAnsi="Book Antiqua" w:cs="Times New Roman"/>
          <w:sz w:val="24"/>
          <w:szCs w:val="24"/>
        </w:rPr>
        <w:t>en</w:t>
      </w:r>
      <w:r w:rsidRPr="00E15217">
        <w:rPr>
          <w:rFonts w:ascii="Book Antiqua" w:hAnsi="Book Antiqua" w:cs="Times New Roman"/>
          <w:i/>
          <w:sz w:val="24"/>
          <w:szCs w:val="24"/>
        </w:rPr>
        <w:t xml:space="preserve"> </w:t>
      </w:r>
      <w:proofErr w:type="spellStart"/>
      <w:r w:rsidRPr="00E15217">
        <w:rPr>
          <w:rFonts w:ascii="Book Antiqua" w:hAnsi="Book Antiqua" w:cs="Times New Roman"/>
          <w:i/>
          <w:sz w:val="24"/>
          <w:szCs w:val="24"/>
        </w:rPr>
        <w:t>GLOSSAE</w:t>
      </w:r>
      <w:proofErr w:type="spellEnd"/>
      <w:r w:rsidRPr="001571D9">
        <w:rPr>
          <w:rFonts w:ascii="Book Antiqua" w:hAnsi="Book Antiqua" w:cs="Times New Roman"/>
          <w:sz w:val="24"/>
          <w:szCs w:val="24"/>
        </w:rPr>
        <w:t xml:space="preserve">. </w:t>
      </w:r>
      <w:proofErr w:type="spellStart"/>
      <w:r w:rsidRPr="00E15217">
        <w:rPr>
          <w:rFonts w:ascii="Book Antiqua" w:hAnsi="Book Antiqua" w:cs="Times New Roman"/>
          <w:i/>
          <w:sz w:val="24"/>
          <w:szCs w:val="24"/>
        </w:rPr>
        <w:t>European</w:t>
      </w:r>
      <w:proofErr w:type="spellEnd"/>
      <w:r w:rsidRPr="00E15217">
        <w:rPr>
          <w:rFonts w:ascii="Book Antiqua" w:hAnsi="Book Antiqua" w:cs="Times New Roman"/>
          <w:i/>
          <w:sz w:val="24"/>
          <w:szCs w:val="24"/>
        </w:rPr>
        <w:t xml:space="preserve"> </w:t>
      </w:r>
      <w:proofErr w:type="spellStart"/>
      <w:r w:rsidRPr="00E15217">
        <w:rPr>
          <w:rFonts w:ascii="Book Antiqua" w:hAnsi="Book Antiqua" w:cs="Times New Roman"/>
          <w:i/>
          <w:sz w:val="24"/>
          <w:szCs w:val="24"/>
        </w:rPr>
        <w:t>Journal</w:t>
      </w:r>
      <w:proofErr w:type="spellEnd"/>
      <w:r w:rsidRPr="00E15217">
        <w:rPr>
          <w:rFonts w:ascii="Book Antiqua" w:hAnsi="Book Antiqua" w:cs="Times New Roman"/>
          <w:i/>
          <w:sz w:val="24"/>
          <w:szCs w:val="24"/>
        </w:rPr>
        <w:t xml:space="preserve"> </w:t>
      </w:r>
      <w:proofErr w:type="spellStart"/>
      <w:r w:rsidRPr="00E15217">
        <w:rPr>
          <w:rFonts w:ascii="Book Antiqua" w:hAnsi="Book Antiqua" w:cs="Times New Roman"/>
          <w:i/>
          <w:sz w:val="24"/>
          <w:szCs w:val="24"/>
        </w:rPr>
        <w:t>of</w:t>
      </w:r>
      <w:proofErr w:type="spellEnd"/>
      <w:r w:rsidRPr="00E15217">
        <w:rPr>
          <w:rFonts w:ascii="Book Antiqua" w:hAnsi="Book Antiqua" w:cs="Times New Roman"/>
          <w:i/>
          <w:sz w:val="24"/>
          <w:szCs w:val="24"/>
        </w:rPr>
        <w:t xml:space="preserve"> Legal </w:t>
      </w:r>
      <w:proofErr w:type="spellStart"/>
      <w:r w:rsidRPr="00E15217">
        <w:rPr>
          <w:rFonts w:ascii="Book Antiqua" w:hAnsi="Book Antiqua" w:cs="Times New Roman"/>
          <w:i/>
          <w:sz w:val="24"/>
          <w:szCs w:val="24"/>
        </w:rPr>
        <w:t>History</w:t>
      </w:r>
      <w:proofErr w:type="spellEnd"/>
      <w:r>
        <w:rPr>
          <w:rFonts w:ascii="Book Antiqua" w:hAnsi="Book Antiqua" w:cs="Times New Roman"/>
          <w:i/>
          <w:sz w:val="24"/>
          <w:szCs w:val="24"/>
        </w:rPr>
        <w:t>,</w:t>
      </w:r>
      <w:r w:rsidRPr="001571D9">
        <w:rPr>
          <w:rFonts w:ascii="Book Antiqua" w:hAnsi="Book Antiqua" w:cs="Times New Roman"/>
          <w:sz w:val="24"/>
          <w:szCs w:val="24"/>
        </w:rPr>
        <w:t xml:space="preserve"> 13 (2016)</w:t>
      </w:r>
      <w:r>
        <w:rPr>
          <w:rFonts w:ascii="Book Antiqua" w:hAnsi="Book Antiqua" w:cs="Times New Roman"/>
          <w:sz w:val="24"/>
          <w:szCs w:val="24"/>
        </w:rPr>
        <w:t>;</w:t>
      </w:r>
      <w:r w:rsidRPr="001571D9">
        <w:rPr>
          <w:rFonts w:ascii="Book Antiqua" w:hAnsi="Book Antiqua" w:cs="Times New Roman"/>
          <w:sz w:val="24"/>
          <w:szCs w:val="24"/>
        </w:rPr>
        <w:t xml:space="preserve"> DOMINGO </w:t>
      </w:r>
      <w:proofErr w:type="spellStart"/>
      <w:r w:rsidRPr="001571D9">
        <w:rPr>
          <w:rFonts w:ascii="Book Antiqua" w:hAnsi="Book Antiqua" w:cs="Times New Roman"/>
          <w:sz w:val="24"/>
          <w:szCs w:val="24"/>
        </w:rPr>
        <w:t>OSLÉ</w:t>
      </w:r>
      <w:proofErr w:type="spellEnd"/>
      <w:r w:rsidRPr="001571D9">
        <w:rPr>
          <w:rFonts w:ascii="Book Antiqua" w:hAnsi="Book Antiqua" w:cs="Times New Roman"/>
          <w:sz w:val="24"/>
          <w:szCs w:val="24"/>
        </w:rPr>
        <w:t>, R., ¿</w:t>
      </w:r>
      <w:r w:rsidRPr="001571D9">
        <w:rPr>
          <w:rFonts w:ascii="Book Antiqua" w:hAnsi="Book Antiqua" w:cs="Times New Roman"/>
          <w:i/>
          <w:sz w:val="24"/>
          <w:szCs w:val="24"/>
        </w:rPr>
        <w:t>Qué es del derecho global</w:t>
      </w:r>
      <w:r w:rsidRPr="001571D9">
        <w:rPr>
          <w:rFonts w:ascii="Book Antiqua" w:hAnsi="Book Antiqua" w:cs="Times New Roman"/>
          <w:sz w:val="24"/>
          <w:szCs w:val="24"/>
        </w:rPr>
        <w:t>?, Madrid, 2008; MURILLO VILLAR, A</w:t>
      </w:r>
      <w:r>
        <w:rPr>
          <w:rFonts w:ascii="Book Antiqua" w:hAnsi="Book Antiqua" w:cs="Times New Roman"/>
          <w:sz w:val="24"/>
          <w:szCs w:val="24"/>
        </w:rPr>
        <w:t>.</w:t>
      </w:r>
      <w:r w:rsidRPr="001571D9">
        <w:rPr>
          <w:rFonts w:ascii="Book Antiqua" w:hAnsi="Book Antiqua" w:cs="Times New Roman"/>
          <w:sz w:val="24"/>
          <w:szCs w:val="24"/>
        </w:rPr>
        <w:t>, “</w:t>
      </w:r>
      <w:r w:rsidRPr="001571D9">
        <w:rPr>
          <w:rFonts w:ascii="Book Antiqua" w:hAnsi="Book Antiqua" w:cs="Segoe UI"/>
          <w:sz w:val="24"/>
          <w:szCs w:val="24"/>
          <w:shd w:val="clear" w:color="auto" w:fill="FFFFFF"/>
        </w:rPr>
        <w:t>El Derecho Romano como elemento de armonización del nuevo Derecho Común Europeo” en  </w:t>
      </w:r>
      <w:r w:rsidRPr="001571D9">
        <w:rPr>
          <w:rFonts w:ascii="Book Antiqua" w:hAnsi="Book Antiqua" w:cs="Segoe UI"/>
          <w:i/>
          <w:iCs/>
          <w:sz w:val="24"/>
          <w:szCs w:val="24"/>
          <w:shd w:val="clear" w:color="auto" w:fill="FFFFFF"/>
        </w:rPr>
        <w:t>Revista Jurídica Da FA7</w:t>
      </w:r>
      <w:r w:rsidRPr="001571D9">
        <w:rPr>
          <w:rFonts w:ascii="Book Antiqua" w:hAnsi="Book Antiqua" w:cs="Segoe UI"/>
          <w:sz w:val="24"/>
          <w:szCs w:val="24"/>
          <w:shd w:val="clear" w:color="auto" w:fill="FFFFFF"/>
        </w:rPr>
        <w:t>, </w:t>
      </w:r>
      <w:r w:rsidRPr="001571D9">
        <w:rPr>
          <w:rFonts w:ascii="Book Antiqua" w:hAnsi="Book Antiqua" w:cs="Segoe UI"/>
          <w:i/>
          <w:iCs/>
          <w:sz w:val="24"/>
          <w:szCs w:val="24"/>
          <w:shd w:val="clear" w:color="auto" w:fill="FFFFFF"/>
        </w:rPr>
        <w:t>7</w:t>
      </w:r>
      <w:r w:rsidRPr="001571D9">
        <w:rPr>
          <w:rFonts w:ascii="Book Antiqua" w:hAnsi="Book Antiqua" w:cs="Segoe UI"/>
          <w:sz w:val="24"/>
          <w:szCs w:val="24"/>
          <w:shd w:val="clear" w:color="auto" w:fill="FFFFFF"/>
        </w:rPr>
        <w:t>(1), 287-298;</w:t>
      </w:r>
      <w:r w:rsidRPr="001571D9">
        <w:rPr>
          <w:rFonts w:ascii="Book Antiqua" w:hAnsi="Book Antiqua" w:cs="Times New Roman"/>
          <w:sz w:val="24"/>
          <w:szCs w:val="24"/>
        </w:rPr>
        <w:t xml:space="preserve"> CASTRESANA HERRERO, A., </w:t>
      </w:r>
      <w:r w:rsidRPr="001571D9">
        <w:rPr>
          <w:rFonts w:ascii="Book Antiqua" w:hAnsi="Book Antiqua" w:cs="Times New Roman"/>
          <w:i/>
          <w:sz w:val="24"/>
          <w:szCs w:val="24"/>
        </w:rPr>
        <w:t>Derecho Romano y Europa</w:t>
      </w:r>
      <w:r>
        <w:rPr>
          <w:rFonts w:ascii="Book Antiqua" w:hAnsi="Book Antiqua" w:cs="Times New Roman"/>
          <w:sz w:val="24"/>
          <w:szCs w:val="24"/>
        </w:rPr>
        <w:t>,</w:t>
      </w:r>
      <w:r w:rsidRPr="001571D9">
        <w:rPr>
          <w:rFonts w:ascii="Book Antiqua" w:hAnsi="Book Antiqua" w:cs="Times New Roman"/>
          <w:sz w:val="24"/>
          <w:szCs w:val="24"/>
        </w:rPr>
        <w:t xml:space="preserve"> Santiago de Chile, 2019; ZIMMERMAN R., “</w:t>
      </w:r>
      <w:r w:rsidRPr="001571D9">
        <w:rPr>
          <w:rFonts w:ascii="Book Antiqua" w:hAnsi="Book Antiqua" w:cs="Times New Roman"/>
          <w:i/>
          <w:sz w:val="24"/>
          <w:szCs w:val="24"/>
        </w:rPr>
        <w:t xml:space="preserve">Derecho Romano y Cultura Europea” </w:t>
      </w:r>
      <w:r w:rsidRPr="001571D9">
        <w:rPr>
          <w:rFonts w:ascii="Book Antiqua" w:hAnsi="Book Antiqua" w:cs="Times New Roman"/>
          <w:sz w:val="24"/>
          <w:szCs w:val="24"/>
        </w:rPr>
        <w:t>en</w:t>
      </w:r>
      <w:r>
        <w:rPr>
          <w:rFonts w:ascii="Book Antiqua" w:hAnsi="Book Antiqua" w:cs="Times New Roman"/>
          <w:i/>
          <w:sz w:val="24"/>
          <w:szCs w:val="24"/>
        </w:rPr>
        <w:t xml:space="preserve"> </w:t>
      </w:r>
      <w:r w:rsidRPr="001571D9">
        <w:rPr>
          <w:rFonts w:ascii="Book Antiqua" w:hAnsi="Book Antiqua" w:cs="Times New Roman"/>
          <w:i/>
          <w:sz w:val="24"/>
          <w:szCs w:val="24"/>
        </w:rPr>
        <w:t>Revista de Derecho Privado</w:t>
      </w:r>
      <w:r w:rsidRPr="001571D9">
        <w:rPr>
          <w:rFonts w:ascii="Book Antiqua" w:hAnsi="Book Antiqua" w:cs="Times New Roman"/>
          <w:sz w:val="24"/>
          <w:szCs w:val="24"/>
        </w:rPr>
        <w:t xml:space="preserve"> n.º 18, pp. 5 a 34, </w:t>
      </w:r>
      <w:r>
        <w:rPr>
          <w:rFonts w:ascii="Book Antiqua" w:hAnsi="Book Antiqua" w:cs="Times New Roman"/>
          <w:sz w:val="24"/>
          <w:szCs w:val="24"/>
        </w:rPr>
        <w:t>Bogotá</w:t>
      </w:r>
      <w:r w:rsidRPr="001571D9">
        <w:rPr>
          <w:rFonts w:ascii="Book Antiqua" w:hAnsi="Book Antiqua" w:cs="Times New Roman"/>
          <w:sz w:val="24"/>
          <w:szCs w:val="24"/>
        </w:rPr>
        <w:t xml:space="preserve">, 2010; del mismo autor </w:t>
      </w:r>
      <w:r w:rsidRPr="001571D9">
        <w:rPr>
          <w:rFonts w:ascii="Book Antiqua" w:hAnsi="Book Antiqua" w:cs="Times New Roman"/>
          <w:i/>
          <w:sz w:val="24"/>
          <w:szCs w:val="24"/>
        </w:rPr>
        <w:t>Estudios de Derecho Privado Europeo</w:t>
      </w:r>
      <w:r w:rsidRPr="001571D9">
        <w:rPr>
          <w:rFonts w:ascii="Book Antiqua" w:hAnsi="Book Antiqua" w:cs="Times New Roman"/>
          <w:sz w:val="24"/>
          <w:szCs w:val="24"/>
        </w:rPr>
        <w:t xml:space="preserve">, </w:t>
      </w:r>
      <w:proofErr w:type="spellStart"/>
      <w:r>
        <w:rPr>
          <w:rFonts w:ascii="Book Antiqua" w:hAnsi="Book Antiqua" w:cs="Times New Roman"/>
          <w:sz w:val="24"/>
          <w:szCs w:val="24"/>
        </w:rPr>
        <w:t>Civitas</w:t>
      </w:r>
      <w:proofErr w:type="spellEnd"/>
      <w:r>
        <w:rPr>
          <w:rFonts w:ascii="Book Antiqua" w:hAnsi="Book Antiqua" w:cs="Times New Roman"/>
          <w:sz w:val="24"/>
          <w:szCs w:val="24"/>
        </w:rPr>
        <w:t xml:space="preserve">, Madrid, </w:t>
      </w:r>
      <w:r w:rsidRPr="001571D9">
        <w:rPr>
          <w:rFonts w:ascii="Book Antiqua" w:hAnsi="Book Antiqua" w:cs="Times New Roman"/>
          <w:sz w:val="24"/>
          <w:szCs w:val="24"/>
        </w:rPr>
        <w:t xml:space="preserve">2000; </w:t>
      </w:r>
      <w:proofErr w:type="spellStart"/>
      <w:r w:rsidRPr="001571D9">
        <w:rPr>
          <w:rFonts w:ascii="Book Antiqua" w:hAnsi="Book Antiqua" w:cs="Times New Roman"/>
          <w:sz w:val="24"/>
          <w:szCs w:val="24"/>
        </w:rPr>
        <w:t>KOSCHAKER</w:t>
      </w:r>
      <w:proofErr w:type="spellEnd"/>
      <w:r w:rsidRPr="001571D9">
        <w:rPr>
          <w:rFonts w:ascii="Book Antiqua" w:hAnsi="Book Antiqua" w:cs="Times New Roman"/>
          <w:sz w:val="24"/>
          <w:szCs w:val="24"/>
        </w:rPr>
        <w:t xml:space="preserve">, P., </w:t>
      </w:r>
      <w:r w:rsidRPr="001571D9">
        <w:rPr>
          <w:rFonts w:ascii="Book Antiqua" w:hAnsi="Book Antiqua" w:cs="Times New Roman"/>
          <w:i/>
          <w:sz w:val="24"/>
          <w:szCs w:val="24"/>
        </w:rPr>
        <w:t xml:space="preserve">Europa </w:t>
      </w:r>
      <w:proofErr w:type="spellStart"/>
      <w:r w:rsidRPr="001571D9">
        <w:rPr>
          <w:rFonts w:ascii="Book Antiqua" w:hAnsi="Book Antiqua" w:cs="Times New Roman"/>
          <w:i/>
          <w:sz w:val="24"/>
          <w:szCs w:val="24"/>
        </w:rPr>
        <w:t>und</w:t>
      </w:r>
      <w:proofErr w:type="spellEnd"/>
      <w:r w:rsidRPr="001571D9">
        <w:rPr>
          <w:rFonts w:ascii="Book Antiqua" w:hAnsi="Book Antiqua" w:cs="Times New Roman"/>
          <w:i/>
          <w:sz w:val="24"/>
          <w:szCs w:val="24"/>
        </w:rPr>
        <w:t xml:space="preserve"> das </w:t>
      </w:r>
      <w:proofErr w:type="spellStart"/>
      <w:r w:rsidRPr="001571D9">
        <w:rPr>
          <w:rFonts w:ascii="Book Antiqua" w:hAnsi="Book Antiqua" w:cs="Times New Roman"/>
          <w:i/>
          <w:sz w:val="24"/>
          <w:szCs w:val="24"/>
        </w:rPr>
        <w:t>römische</w:t>
      </w:r>
      <w:proofErr w:type="spellEnd"/>
      <w:r w:rsidRPr="001571D9">
        <w:rPr>
          <w:rFonts w:ascii="Book Antiqua" w:hAnsi="Book Antiqua" w:cs="Times New Roman"/>
          <w:i/>
          <w:sz w:val="24"/>
          <w:szCs w:val="24"/>
        </w:rPr>
        <w:t xml:space="preserve"> </w:t>
      </w:r>
      <w:proofErr w:type="spellStart"/>
      <w:r w:rsidRPr="001571D9">
        <w:rPr>
          <w:rFonts w:ascii="Book Antiqua" w:hAnsi="Book Antiqua" w:cs="Times New Roman"/>
          <w:i/>
          <w:sz w:val="24"/>
          <w:szCs w:val="24"/>
        </w:rPr>
        <w:t>Recht</w:t>
      </w:r>
      <w:proofErr w:type="spellEnd"/>
      <w:r w:rsidRPr="001571D9">
        <w:rPr>
          <w:rFonts w:ascii="Book Antiqua" w:hAnsi="Book Antiqua" w:cs="Times New Roman"/>
          <w:i/>
          <w:sz w:val="24"/>
          <w:szCs w:val="24"/>
        </w:rPr>
        <w:t xml:space="preserve">, </w:t>
      </w:r>
      <w:proofErr w:type="spellStart"/>
      <w:r w:rsidRPr="001571D9">
        <w:rPr>
          <w:rFonts w:ascii="Book Antiqua" w:hAnsi="Book Antiqua" w:cs="Times New Roman"/>
          <w:sz w:val="24"/>
          <w:szCs w:val="24"/>
        </w:rPr>
        <w:t>Munich</w:t>
      </w:r>
      <w:proofErr w:type="spellEnd"/>
      <w:r>
        <w:rPr>
          <w:rFonts w:ascii="Book Antiqua" w:hAnsi="Book Antiqua" w:cs="Times New Roman"/>
          <w:sz w:val="24"/>
          <w:szCs w:val="24"/>
        </w:rPr>
        <w:t>, 1947;</w:t>
      </w:r>
      <w:r w:rsidRPr="001571D9">
        <w:rPr>
          <w:rFonts w:ascii="Book Antiqua" w:hAnsi="Book Antiqua" w:cs="Times New Roman"/>
          <w:sz w:val="24"/>
          <w:szCs w:val="24"/>
        </w:rPr>
        <w:t xml:space="preserve"> </w:t>
      </w:r>
      <w:proofErr w:type="spellStart"/>
      <w:r w:rsidRPr="001571D9">
        <w:rPr>
          <w:rFonts w:ascii="Book Antiqua" w:hAnsi="Book Antiqua" w:cs="Times New Roman"/>
          <w:sz w:val="24"/>
          <w:szCs w:val="24"/>
        </w:rPr>
        <w:t>CAPOGROSSI</w:t>
      </w:r>
      <w:proofErr w:type="spellEnd"/>
      <w:r w:rsidRPr="001571D9">
        <w:rPr>
          <w:rFonts w:ascii="Book Antiqua" w:hAnsi="Book Antiqua" w:cs="Times New Roman"/>
          <w:sz w:val="24"/>
          <w:szCs w:val="24"/>
        </w:rPr>
        <w:t xml:space="preserve"> </w:t>
      </w:r>
      <w:proofErr w:type="spellStart"/>
      <w:r w:rsidRPr="001571D9">
        <w:rPr>
          <w:rFonts w:ascii="Book Antiqua" w:hAnsi="Book Antiqua" w:cs="Times New Roman"/>
          <w:sz w:val="24"/>
          <w:szCs w:val="24"/>
        </w:rPr>
        <w:t>COLOGNESI</w:t>
      </w:r>
      <w:proofErr w:type="spellEnd"/>
      <w:r w:rsidRPr="001571D9">
        <w:rPr>
          <w:rFonts w:ascii="Book Antiqua" w:hAnsi="Book Antiqua" w:cs="Times New Roman"/>
          <w:sz w:val="24"/>
          <w:szCs w:val="24"/>
        </w:rPr>
        <w:t>, L</w:t>
      </w:r>
      <w:r>
        <w:rPr>
          <w:rFonts w:ascii="Book Antiqua" w:hAnsi="Book Antiqua" w:cs="Times New Roman"/>
          <w:sz w:val="24"/>
          <w:szCs w:val="24"/>
        </w:rPr>
        <w:t>.</w:t>
      </w:r>
      <w:r w:rsidRPr="001571D9">
        <w:rPr>
          <w:rFonts w:ascii="Book Antiqua" w:hAnsi="Book Antiqua" w:cs="Times New Roman"/>
          <w:sz w:val="24"/>
          <w:szCs w:val="24"/>
        </w:rPr>
        <w:t>,</w:t>
      </w:r>
      <w:r>
        <w:rPr>
          <w:rFonts w:ascii="Book Antiqua" w:hAnsi="Book Antiqua" w:cs="Times New Roman"/>
          <w:sz w:val="24"/>
          <w:szCs w:val="24"/>
        </w:rPr>
        <w:t xml:space="preserve"> </w:t>
      </w:r>
      <w:r w:rsidRPr="00E15217">
        <w:rPr>
          <w:rFonts w:ascii="Book Antiqua" w:hAnsi="Book Antiqua" w:cs="Times New Roman"/>
          <w:sz w:val="24"/>
          <w:szCs w:val="24"/>
        </w:rPr>
        <w:t>”</w:t>
      </w:r>
      <w:proofErr w:type="spellStart"/>
      <w:r w:rsidRPr="00E15217">
        <w:rPr>
          <w:rFonts w:ascii="Book Antiqua" w:hAnsi="Book Antiqua" w:cs="Times New Roman"/>
          <w:sz w:val="24"/>
          <w:szCs w:val="24"/>
        </w:rPr>
        <w:t>Riflessioni</w:t>
      </w:r>
      <w:proofErr w:type="spellEnd"/>
      <w:r w:rsidRPr="00E15217">
        <w:rPr>
          <w:rFonts w:ascii="Book Antiqua" w:hAnsi="Book Antiqua" w:cs="Times New Roman"/>
          <w:sz w:val="24"/>
          <w:szCs w:val="24"/>
        </w:rPr>
        <w:t xml:space="preserve"> sui “</w:t>
      </w:r>
      <w:proofErr w:type="spellStart"/>
      <w:r w:rsidRPr="00E15217">
        <w:rPr>
          <w:rFonts w:ascii="Book Antiqua" w:hAnsi="Book Antiqua" w:cs="Times New Roman"/>
          <w:sz w:val="24"/>
          <w:szCs w:val="24"/>
        </w:rPr>
        <w:t>fondamenti</w:t>
      </w:r>
      <w:proofErr w:type="spellEnd"/>
      <w:r w:rsidRPr="00E15217">
        <w:rPr>
          <w:rFonts w:ascii="Book Antiqua" w:hAnsi="Book Antiqua" w:cs="Times New Roman"/>
          <w:sz w:val="24"/>
          <w:szCs w:val="24"/>
        </w:rPr>
        <w:t xml:space="preserve"> del </w:t>
      </w:r>
      <w:proofErr w:type="spellStart"/>
      <w:r w:rsidRPr="00E15217">
        <w:rPr>
          <w:rFonts w:ascii="Book Antiqua" w:hAnsi="Book Antiqua" w:cs="Times New Roman"/>
          <w:sz w:val="24"/>
          <w:szCs w:val="24"/>
        </w:rPr>
        <w:t>diritto</w:t>
      </w:r>
      <w:proofErr w:type="spellEnd"/>
      <w:r w:rsidRPr="00E15217">
        <w:rPr>
          <w:rFonts w:ascii="Book Antiqua" w:hAnsi="Book Antiqua" w:cs="Times New Roman"/>
          <w:sz w:val="24"/>
          <w:szCs w:val="24"/>
        </w:rPr>
        <w:t xml:space="preserve"> europeo”: una </w:t>
      </w:r>
      <w:proofErr w:type="spellStart"/>
      <w:r w:rsidRPr="00E15217">
        <w:rPr>
          <w:rFonts w:ascii="Book Antiqua" w:hAnsi="Book Antiqua" w:cs="Times New Roman"/>
          <w:sz w:val="24"/>
          <w:szCs w:val="24"/>
        </w:rPr>
        <w:t>ocassione</w:t>
      </w:r>
      <w:proofErr w:type="spellEnd"/>
      <w:r w:rsidRPr="00E15217">
        <w:rPr>
          <w:rFonts w:ascii="Book Antiqua" w:hAnsi="Book Antiqua" w:cs="Times New Roman"/>
          <w:sz w:val="24"/>
          <w:szCs w:val="24"/>
        </w:rPr>
        <w:t xml:space="preserve"> da non </w:t>
      </w:r>
      <w:proofErr w:type="spellStart"/>
      <w:r w:rsidRPr="00E15217">
        <w:rPr>
          <w:rFonts w:ascii="Book Antiqua" w:hAnsi="Book Antiqua" w:cs="Times New Roman"/>
          <w:sz w:val="24"/>
          <w:szCs w:val="24"/>
        </w:rPr>
        <w:t>sprecare</w:t>
      </w:r>
      <w:proofErr w:type="spellEnd"/>
      <w:r w:rsidRPr="00E15217">
        <w:rPr>
          <w:rFonts w:ascii="Book Antiqua" w:hAnsi="Book Antiqua" w:cs="Times New Roman"/>
          <w:sz w:val="24"/>
          <w:szCs w:val="24"/>
        </w:rPr>
        <w:t>”</w:t>
      </w:r>
      <w:r w:rsidRPr="001571D9">
        <w:rPr>
          <w:rFonts w:ascii="Book Antiqua" w:hAnsi="Book Antiqua" w:cs="Times New Roman"/>
          <w:sz w:val="24"/>
          <w:szCs w:val="24"/>
        </w:rPr>
        <w:t xml:space="preserve">, en </w:t>
      </w:r>
      <w:proofErr w:type="spellStart"/>
      <w:r w:rsidRPr="00E15217">
        <w:rPr>
          <w:rFonts w:ascii="Book Antiqua" w:hAnsi="Book Antiqua" w:cs="Times New Roman"/>
          <w:i/>
          <w:sz w:val="24"/>
          <w:szCs w:val="24"/>
        </w:rPr>
        <w:t>IVRA</w:t>
      </w:r>
      <w:proofErr w:type="spellEnd"/>
      <w:r>
        <w:rPr>
          <w:rFonts w:ascii="Book Antiqua" w:hAnsi="Book Antiqua" w:cs="Times New Roman"/>
          <w:sz w:val="24"/>
          <w:szCs w:val="24"/>
        </w:rPr>
        <w:t xml:space="preserve"> 51, </w:t>
      </w:r>
      <w:r w:rsidRPr="001571D9">
        <w:rPr>
          <w:rFonts w:ascii="Book Antiqua" w:hAnsi="Book Antiqua" w:cs="Times New Roman"/>
          <w:sz w:val="24"/>
          <w:szCs w:val="24"/>
        </w:rPr>
        <w:t xml:space="preserve">2000, pp. 1-27; REINOSO BARBERO, F., </w:t>
      </w:r>
      <w:r w:rsidRPr="001571D9">
        <w:rPr>
          <w:rFonts w:ascii="Book Antiqua" w:hAnsi="Book Antiqua" w:cs="Times New Roman"/>
          <w:i/>
          <w:sz w:val="24"/>
          <w:szCs w:val="24"/>
        </w:rPr>
        <w:t>Derecho Romano y Fundamentos Jurídicos de Europa</w:t>
      </w:r>
      <w:r w:rsidRPr="001571D9">
        <w:rPr>
          <w:rFonts w:ascii="Book Antiqua" w:hAnsi="Book Antiqua" w:cs="Times New Roman"/>
          <w:sz w:val="24"/>
          <w:szCs w:val="24"/>
        </w:rPr>
        <w:t>, Santiago de Chile,</w:t>
      </w:r>
      <w:r>
        <w:rPr>
          <w:rFonts w:ascii="Book Antiqua" w:hAnsi="Book Antiqua" w:cs="Times New Roman"/>
          <w:sz w:val="24"/>
          <w:szCs w:val="24"/>
        </w:rPr>
        <w:t xml:space="preserve"> </w:t>
      </w:r>
      <w:r w:rsidRPr="001571D9">
        <w:rPr>
          <w:rFonts w:ascii="Book Antiqua" w:hAnsi="Book Antiqua" w:cs="Times New Roman"/>
          <w:sz w:val="24"/>
          <w:szCs w:val="24"/>
        </w:rPr>
        <w:t>2018</w:t>
      </w:r>
      <w:r>
        <w:rPr>
          <w:rFonts w:ascii="Book Antiqua" w:hAnsi="Book Antiqua" w:cs="Times New Roman"/>
          <w:sz w:val="24"/>
          <w:szCs w:val="24"/>
        </w:rPr>
        <w:t>.</w:t>
      </w:r>
      <w:r w:rsidRPr="001571D9">
        <w:rPr>
          <w:rFonts w:ascii="Book Antiqua" w:hAnsi="Book Antiqua" w:cs="Times New Roman"/>
          <w:sz w:val="24"/>
          <w:szCs w:val="24"/>
        </w:rPr>
        <w:t xml:space="preserve"> Del mismo autor, </w:t>
      </w:r>
      <w:r>
        <w:rPr>
          <w:rFonts w:ascii="Book Antiqua" w:hAnsi="Book Antiqua" w:cs="Times New Roman"/>
          <w:sz w:val="24"/>
          <w:szCs w:val="24"/>
        </w:rPr>
        <w:t>“</w:t>
      </w:r>
      <w:r w:rsidRPr="002122D2">
        <w:rPr>
          <w:rFonts w:ascii="Book Antiqua" w:hAnsi="Book Antiqua" w:cs="Times New Roman"/>
          <w:sz w:val="24"/>
          <w:szCs w:val="24"/>
        </w:rPr>
        <w:t>Foro de conveniencia, derecho de conveniencia y nulidad</w:t>
      </w:r>
      <w:r>
        <w:rPr>
          <w:rFonts w:ascii="Book Antiqua" w:hAnsi="Book Antiqua" w:cs="Times New Roman"/>
          <w:sz w:val="24"/>
          <w:szCs w:val="24"/>
        </w:rPr>
        <w:t>”</w:t>
      </w:r>
      <w:r w:rsidRPr="001571D9">
        <w:rPr>
          <w:rFonts w:ascii="Book Antiqua" w:hAnsi="Book Antiqua" w:cs="Times New Roman"/>
          <w:sz w:val="24"/>
          <w:szCs w:val="24"/>
        </w:rPr>
        <w:t>, en</w:t>
      </w:r>
      <w:r w:rsidRPr="002122D2">
        <w:rPr>
          <w:rFonts w:ascii="Book Antiqua" w:hAnsi="Book Antiqua" w:cs="Times New Roman"/>
          <w:i/>
          <w:sz w:val="24"/>
          <w:szCs w:val="24"/>
        </w:rPr>
        <w:t xml:space="preserve"> Rev. de Derecho de la </w:t>
      </w:r>
      <w:proofErr w:type="spellStart"/>
      <w:r w:rsidRPr="002122D2">
        <w:rPr>
          <w:rFonts w:ascii="Book Antiqua" w:hAnsi="Book Antiqua" w:cs="Times New Roman"/>
          <w:i/>
          <w:sz w:val="24"/>
          <w:szCs w:val="24"/>
        </w:rPr>
        <w:t>UNED</w:t>
      </w:r>
      <w:proofErr w:type="spellEnd"/>
      <w:r>
        <w:rPr>
          <w:rFonts w:ascii="Book Antiqua" w:hAnsi="Book Antiqua" w:cs="Times New Roman"/>
          <w:sz w:val="24"/>
          <w:szCs w:val="24"/>
        </w:rPr>
        <w:t>, 4</w:t>
      </w:r>
      <w:r w:rsidRPr="001571D9">
        <w:rPr>
          <w:rFonts w:ascii="Book Antiqua" w:hAnsi="Book Antiqua" w:cs="Times New Roman"/>
          <w:sz w:val="24"/>
          <w:szCs w:val="24"/>
        </w:rPr>
        <w:t>,</w:t>
      </w:r>
      <w:r>
        <w:rPr>
          <w:rFonts w:ascii="Book Antiqua" w:hAnsi="Book Antiqua" w:cs="Times New Roman"/>
          <w:sz w:val="24"/>
          <w:szCs w:val="24"/>
        </w:rPr>
        <w:t xml:space="preserve"> </w:t>
      </w:r>
      <w:proofErr w:type="gramStart"/>
      <w:r w:rsidRPr="001571D9">
        <w:rPr>
          <w:rFonts w:ascii="Book Antiqua" w:hAnsi="Book Antiqua" w:cs="Times New Roman"/>
          <w:sz w:val="24"/>
          <w:szCs w:val="24"/>
        </w:rPr>
        <w:t>2009;  MANTOVANI</w:t>
      </w:r>
      <w:proofErr w:type="gramEnd"/>
      <w:r w:rsidRPr="001571D9">
        <w:rPr>
          <w:rFonts w:ascii="Book Antiqua" w:hAnsi="Book Antiqua" w:cs="Times New Roman"/>
          <w:sz w:val="24"/>
          <w:szCs w:val="24"/>
        </w:rPr>
        <w:t>, D., “El Derecho romano después de Europa. La historia jurídica para la formación del jurista y ciudadano europeo”</w:t>
      </w:r>
      <w:r w:rsidRPr="001571D9">
        <w:rPr>
          <w:rFonts w:ascii="Book Antiqua" w:hAnsi="Book Antiqua" w:cs="Times New Roman"/>
          <w:i/>
          <w:sz w:val="24"/>
          <w:szCs w:val="24"/>
        </w:rPr>
        <w:t xml:space="preserve">, </w:t>
      </w:r>
      <w:r w:rsidRPr="001571D9">
        <w:rPr>
          <w:rFonts w:ascii="Book Antiqua" w:hAnsi="Book Antiqua" w:cs="Times New Roman"/>
          <w:sz w:val="24"/>
          <w:szCs w:val="24"/>
        </w:rPr>
        <w:t xml:space="preserve">en </w:t>
      </w:r>
      <w:r w:rsidRPr="001571D9">
        <w:rPr>
          <w:rFonts w:ascii="Book Antiqua" w:hAnsi="Book Antiqua" w:cs="Times New Roman"/>
          <w:i/>
          <w:sz w:val="24"/>
          <w:szCs w:val="24"/>
        </w:rPr>
        <w:t xml:space="preserve">Cuadernos del Instituto Antonio de Nebrija </w:t>
      </w:r>
      <w:r>
        <w:rPr>
          <w:rFonts w:ascii="Book Antiqua" w:hAnsi="Book Antiqua" w:cs="Times New Roman"/>
          <w:sz w:val="24"/>
          <w:szCs w:val="24"/>
        </w:rPr>
        <w:t>= CIAN9, 2006,</w:t>
      </w:r>
      <w:r w:rsidRPr="001571D9">
        <w:rPr>
          <w:rFonts w:ascii="Book Antiqua" w:hAnsi="Book Antiqua" w:cs="Times New Roman"/>
          <w:sz w:val="24"/>
          <w:szCs w:val="24"/>
        </w:rPr>
        <w:t xml:space="preserve"> 365.</w:t>
      </w:r>
    </w:p>
  </w:footnote>
  <w:footnote w:id="3">
    <w:p w14:paraId="499BBBC1"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Conocida Internacionalmente por el nombre de su presidente</w:t>
      </w:r>
      <w:r>
        <w:rPr>
          <w:rFonts w:ascii="Book Antiqua" w:hAnsi="Book Antiqua"/>
          <w:szCs w:val="24"/>
        </w:rPr>
        <w:t xml:space="preserve"> “Comisión </w:t>
      </w:r>
      <w:proofErr w:type="spellStart"/>
      <w:r>
        <w:rPr>
          <w:rFonts w:ascii="Book Antiqua" w:hAnsi="Book Antiqua"/>
          <w:szCs w:val="24"/>
        </w:rPr>
        <w:t>Lando</w:t>
      </w:r>
      <w:proofErr w:type="spellEnd"/>
      <w:r>
        <w:rPr>
          <w:rFonts w:ascii="Book Antiqua" w:hAnsi="Book Antiqua"/>
          <w:szCs w:val="24"/>
        </w:rPr>
        <w:t xml:space="preserve">”, elaboró los </w:t>
      </w:r>
      <w:proofErr w:type="spellStart"/>
      <w:r w:rsidRPr="001571D9">
        <w:rPr>
          <w:rFonts w:ascii="Book Antiqua" w:hAnsi="Book Antiqua"/>
          <w:szCs w:val="24"/>
        </w:rPr>
        <w:t>Prin</w:t>
      </w:r>
      <w:r>
        <w:rPr>
          <w:rFonts w:ascii="Book Antiqua" w:hAnsi="Book Antiqua"/>
          <w:szCs w:val="24"/>
        </w:rPr>
        <w:t>ciples</w:t>
      </w:r>
      <w:proofErr w:type="spellEnd"/>
      <w:r>
        <w:rPr>
          <w:rFonts w:ascii="Book Antiqua" w:hAnsi="Book Antiqua"/>
          <w:szCs w:val="24"/>
        </w:rPr>
        <w:t xml:space="preserve"> </w:t>
      </w:r>
      <w:proofErr w:type="spellStart"/>
      <w:r>
        <w:rPr>
          <w:rFonts w:ascii="Book Antiqua" w:hAnsi="Book Antiqua"/>
          <w:szCs w:val="24"/>
        </w:rPr>
        <w:t>of</w:t>
      </w:r>
      <w:proofErr w:type="spellEnd"/>
      <w:r>
        <w:rPr>
          <w:rFonts w:ascii="Book Antiqua" w:hAnsi="Book Antiqua"/>
          <w:szCs w:val="24"/>
        </w:rPr>
        <w:t xml:space="preserve"> </w:t>
      </w:r>
      <w:proofErr w:type="spellStart"/>
      <w:r>
        <w:rPr>
          <w:rFonts w:ascii="Book Antiqua" w:hAnsi="Book Antiqua"/>
          <w:szCs w:val="24"/>
        </w:rPr>
        <w:t>European</w:t>
      </w:r>
      <w:proofErr w:type="spellEnd"/>
      <w:r>
        <w:rPr>
          <w:rFonts w:ascii="Book Antiqua" w:hAnsi="Book Antiqua"/>
          <w:szCs w:val="24"/>
        </w:rPr>
        <w:t xml:space="preserve"> </w:t>
      </w:r>
      <w:proofErr w:type="spellStart"/>
      <w:r>
        <w:rPr>
          <w:rFonts w:ascii="Book Antiqua" w:hAnsi="Book Antiqua"/>
          <w:szCs w:val="24"/>
        </w:rPr>
        <w:t>Contract</w:t>
      </w:r>
      <w:proofErr w:type="spellEnd"/>
      <w:r>
        <w:rPr>
          <w:rFonts w:ascii="Book Antiqua" w:hAnsi="Book Antiqua"/>
          <w:szCs w:val="24"/>
        </w:rPr>
        <w:t xml:space="preserve"> </w:t>
      </w:r>
      <w:proofErr w:type="spellStart"/>
      <w:r>
        <w:rPr>
          <w:rFonts w:ascii="Book Antiqua" w:hAnsi="Book Antiqua"/>
          <w:szCs w:val="24"/>
        </w:rPr>
        <w:t>Law</w:t>
      </w:r>
      <w:proofErr w:type="spellEnd"/>
      <w:r w:rsidRPr="001571D9">
        <w:rPr>
          <w:rFonts w:ascii="Book Antiqua" w:hAnsi="Book Antiqua"/>
          <w:szCs w:val="24"/>
        </w:rPr>
        <w:t xml:space="preserve">; REDONDO TRIGO, </w:t>
      </w:r>
      <w:r w:rsidRPr="002122D2">
        <w:rPr>
          <w:rFonts w:ascii="Book Antiqua" w:hAnsi="Book Antiqua"/>
          <w:szCs w:val="24"/>
        </w:rPr>
        <w:t>F.</w:t>
      </w:r>
      <w:r w:rsidRPr="002122D2">
        <w:rPr>
          <w:rFonts w:ascii="Book Antiqua" w:hAnsi="Book Antiqua"/>
          <w:i/>
          <w:szCs w:val="24"/>
        </w:rPr>
        <w:t xml:space="preserve">, </w:t>
      </w:r>
      <w:r w:rsidRPr="002122D2">
        <w:rPr>
          <w:rFonts w:ascii="Book Antiqua" w:hAnsi="Book Antiqua"/>
          <w:szCs w:val="24"/>
        </w:rPr>
        <w:t xml:space="preserve">“De los Principios </w:t>
      </w:r>
      <w:proofErr w:type="spellStart"/>
      <w:r w:rsidRPr="002122D2">
        <w:rPr>
          <w:rFonts w:ascii="Book Antiqua" w:hAnsi="Book Antiqua"/>
          <w:szCs w:val="24"/>
        </w:rPr>
        <w:t>Lando</w:t>
      </w:r>
      <w:proofErr w:type="spellEnd"/>
      <w:r w:rsidRPr="002122D2">
        <w:rPr>
          <w:rFonts w:ascii="Book Antiqua" w:hAnsi="Book Antiqua"/>
          <w:szCs w:val="24"/>
        </w:rPr>
        <w:t xml:space="preserve"> al marco común de referencia del Derecho Privado Europeo. Hacia un nuevo ius </w:t>
      </w:r>
      <w:proofErr w:type="spellStart"/>
      <w:r w:rsidRPr="002122D2">
        <w:rPr>
          <w:rFonts w:ascii="Book Antiqua" w:hAnsi="Book Antiqua"/>
          <w:szCs w:val="24"/>
        </w:rPr>
        <w:t>commune</w:t>
      </w:r>
      <w:proofErr w:type="spellEnd"/>
      <w:r w:rsidRPr="002122D2">
        <w:rPr>
          <w:rFonts w:ascii="Book Antiqua" w:hAnsi="Book Antiqua"/>
          <w:szCs w:val="24"/>
        </w:rPr>
        <w:t>”,</w:t>
      </w:r>
      <w:r>
        <w:rPr>
          <w:rFonts w:ascii="Book Antiqua" w:hAnsi="Book Antiqua"/>
          <w:szCs w:val="24"/>
        </w:rPr>
        <w:t xml:space="preserve"> en</w:t>
      </w:r>
      <w:r w:rsidRPr="002122D2">
        <w:rPr>
          <w:rFonts w:ascii="Book Antiqua" w:hAnsi="Book Antiqua"/>
          <w:szCs w:val="24"/>
        </w:rPr>
        <w:t xml:space="preserve"> </w:t>
      </w:r>
      <w:proofErr w:type="spellStart"/>
      <w:r w:rsidRPr="002122D2">
        <w:rPr>
          <w:rFonts w:ascii="Book Antiqua" w:hAnsi="Book Antiqua"/>
          <w:i/>
          <w:szCs w:val="24"/>
        </w:rPr>
        <w:t>ADC</w:t>
      </w:r>
      <w:proofErr w:type="spellEnd"/>
      <w:r w:rsidRPr="002122D2">
        <w:rPr>
          <w:rFonts w:ascii="Book Antiqua" w:hAnsi="Book Antiqua"/>
          <w:szCs w:val="24"/>
        </w:rPr>
        <w:t>,</w:t>
      </w:r>
      <w:r w:rsidRPr="001571D9">
        <w:rPr>
          <w:rFonts w:ascii="Book Antiqua" w:hAnsi="Book Antiqua"/>
          <w:szCs w:val="24"/>
        </w:rPr>
        <w:t xml:space="preserve"> </w:t>
      </w:r>
      <w:proofErr w:type="spellStart"/>
      <w:r w:rsidRPr="001571D9">
        <w:rPr>
          <w:rFonts w:ascii="Book Antiqua" w:hAnsi="Book Antiqua"/>
          <w:szCs w:val="24"/>
        </w:rPr>
        <w:t>T.XIII</w:t>
      </w:r>
      <w:proofErr w:type="spellEnd"/>
      <w:r w:rsidRPr="001571D9">
        <w:rPr>
          <w:rFonts w:ascii="Book Antiqua" w:hAnsi="Book Antiqua"/>
          <w:szCs w:val="24"/>
        </w:rPr>
        <w:t>, 2010, fasc. IV, pp. 1643-1682.</w:t>
      </w:r>
    </w:p>
  </w:footnote>
  <w:footnote w:id="4">
    <w:p w14:paraId="767EBBD8"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w:t>
      </w:r>
      <w:r w:rsidRPr="006E4269">
        <w:rPr>
          <w:rFonts w:ascii="Book Antiqua" w:hAnsi="Book Antiqua"/>
          <w:szCs w:val="24"/>
        </w:rPr>
        <w:t>No fueron,</w:t>
      </w:r>
      <w:r w:rsidRPr="001571D9">
        <w:rPr>
          <w:rFonts w:ascii="Book Antiqua" w:hAnsi="Book Antiqua"/>
          <w:szCs w:val="24"/>
        </w:rPr>
        <w:t xml:space="preserve"> ni la Codificación ni las Escuelas que estudiaron el Derecho romano en el siglo XIX, las únicas que abrieron la puerta a una nueva concepción del derecho, </w:t>
      </w:r>
      <w:r w:rsidRPr="006E4269">
        <w:rPr>
          <w:rFonts w:ascii="Book Antiqua" w:hAnsi="Book Antiqua"/>
          <w:szCs w:val="24"/>
        </w:rPr>
        <w:t>también a ello lo fueron</w:t>
      </w:r>
      <w:r w:rsidRPr="001571D9">
        <w:rPr>
          <w:rFonts w:ascii="Book Antiqua" w:hAnsi="Book Antiqua"/>
          <w:szCs w:val="24"/>
        </w:rPr>
        <w:t xml:space="preserve"> las nuevas corrientes de pensamiento que auspiciaban regulaciones contrarias a la tradición. A pesar de ello, incluso la Escuela Histórica del Derecho, que sugería el “espíritu del pueblo” (</w:t>
      </w:r>
      <w:proofErr w:type="spellStart"/>
      <w:r w:rsidRPr="001571D9">
        <w:rPr>
          <w:rFonts w:ascii="Book Antiqua" w:hAnsi="Book Antiqua"/>
          <w:i/>
          <w:szCs w:val="24"/>
        </w:rPr>
        <w:t>volkgeist</w:t>
      </w:r>
      <w:proofErr w:type="spellEnd"/>
      <w:r w:rsidRPr="001571D9">
        <w:rPr>
          <w:rFonts w:ascii="Book Antiqua" w:hAnsi="Book Antiqua"/>
          <w:i/>
          <w:szCs w:val="24"/>
        </w:rPr>
        <w:t xml:space="preserve">) </w:t>
      </w:r>
      <w:r w:rsidRPr="001571D9">
        <w:rPr>
          <w:rFonts w:ascii="Book Antiqua" w:hAnsi="Book Antiqua"/>
          <w:szCs w:val="24"/>
        </w:rPr>
        <w:t>como brújula que guiase la creación de las nuevas leyes</w:t>
      </w:r>
      <w:r>
        <w:rPr>
          <w:rFonts w:ascii="Book Antiqua" w:hAnsi="Book Antiqua"/>
          <w:szCs w:val="24"/>
        </w:rPr>
        <w:t>,</w:t>
      </w:r>
      <w:r w:rsidRPr="001571D9">
        <w:rPr>
          <w:rFonts w:ascii="Book Antiqua" w:hAnsi="Book Antiqua"/>
          <w:szCs w:val="24"/>
        </w:rPr>
        <w:t xml:space="preserve"> no pudo prescindir de una Historia europea influida por el Derecho romano. Vid. </w:t>
      </w:r>
      <w:proofErr w:type="spellStart"/>
      <w:r w:rsidRPr="001571D9">
        <w:rPr>
          <w:rFonts w:ascii="Book Antiqua" w:hAnsi="Book Antiqua"/>
          <w:szCs w:val="24"/>
        </w:rPr>
        <w:t>KOSCHAKER</w:t>
      </w:r>
      <w:proofErr w:type="spellEnd"/>
      <w:r w:rsidRPr="001571D9">
        <w:rPr>
          <w:rFonts w:ascii="Book Antiqua" w:hAnsi="Book Antiqua"/>
          <w:szCs w:val="24"/>
        </w:rPr>
        <w:t>, P.,</w:t>
      </w:r>
      <w:r w:rsidRPr="001571D9">
        <w:rPr>
          <w:rFonts w:ascii="Book Antiqua" w:hAnsi="Book Antiqua"/>
          <w:i/>
          <w:szCs w:val="24"/>
        </w:rPr>
        <w:t xml:space="preserve"> Europa y el Derecho </w:t>
      </w:r>
      <w:r w:rsidRPr="002122D2">
        <w:rPr>
          <w:rFonts w:ascii="Book Antiqua" w:hAnsi="Book Antiqua"/>
          <w:i/>
          <w:szCs w:val="24"/>
        </w:rPr>
        <w:t>Romano</w:t>
      </w:r>
      <w:r w:rsidRPr="002122D2">
        <w:rPr>
          <w:rFonts w:ascii="Book Antiqua" w:hAnsi="Book Antiqua"/>
          <w:szCs w:val="24"/>
        </w:rPr>
        <w:t>, (trad. José</w:t>
      </w:r>
      <w:r w:rsidRPr="001571D9">
        <w:rPr>
          <w:rFonts w:ascii="Book Antiqua" w:hAnsi="Book Antiqua"/>
          <w:szCs w:val="24"/>
        </w:rPr>
        <w:t xml:space="preserve"> Santa Cruz Tejeiro</w:t>
      </w:r>
      <w:r>
        <w:rPr>
          <w:rFonts w:ascii="Book Antiqua" w:hAnsi="Book Antiqua"/>
          <w:szCs w:val="24"/>
        </w:rPr>
        <w:t>)</w:t>
      </w:r>
      <w:r w:rsidRPr="001571D9">
        <w:rPr>
          <w:rFonts w:ascii="Book Antiqua" w:hAnsi="Book Antiqua"/>
          <w:szCs w:val="24"/>
        </w:rPr>
        <w:t xml:space="preserve">, </w:t>
      </w:r>
      <w:r w:rsidRPr="006E4269">
        <w:rPr>
          <w:rFonts w:ascii="Book Antiqua" w:hAnsi="Book Antiqua"/>
          <w:szCs w:val="24"/>
        </w:rPr>
        <w:t>ed. Revista de Derecho Privado, Madrid, 1955</w:t>
      </w:r>
      <w:r w:rsidRPr="001571D9">
        <w:rPr>
          <w:rFonts w:ascii="Book Antiqua" w:hAnsi="Book Antiqua"/>
          <w:szCs w:val="24"/>
        </w:rPr>
        <w:t xml:space="preserve">, sobre la génesis de Europa y la evolución del Derecho romano de acuerdo con las principales corrientes y escuelas hasta la actualidad. </w:t>
      </w:r>
    </w:p>
  </w:footnote>
  <w:footnote w:id="5">
    <w:p w14:paraId="76F93A69"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Sobre los perjuicios de los nacionalismos a la idea de un derecho común para la vieja Europa, vid. </w:t>
      </w:r>
      <w:proofErr w:type="spellStart"/>
      <w:r w:rsidRPr="001571D9">
        <w:rPr>
          <w:rFonts w:ascii="Book Antiqua" w:hAnsi="Book Antiqua"/>
          <w:szCs w:val="24"/>
        </w:rPr>
        <w:t>COING</w:t>
      </w:r>
      <w:proofErr w:type="spellEnd"/>
      <w:r w:rsidRPr="001571D9">
        <w:rPr>
          <w:rFonts w:ascii="Book Antiqua" w:hAnsi="Book Antiqua"/>
          <w:szCs w:val="24"/>
        </w:rPr>
        <w:t xml:space="preserve">, H., </w:t>
      </w:r>
      <w:r w:rsidRPr="001571D9">
        <w:rPr>
          <w:rFonts w:ascii="Book Antiqua" w:hAnsi="Book Antiqua"/>
          <w:i/>
          <w:szCs w:val="24"/>
        </w:rPr>
        <w:t>Derecho Privado Romano</w:t>
      </w:r>
      <w:r w:rsidRPr="001571D9">
        <w:rPr>
          <w:rFonts w:ascii="Book Antiqua" w:hAnsi="Book Antiqua"/>
          <w:szCs w:val="24"/>
        </w:rPr>
        <w:t xml:space="preserve">, </w:t>
      </w:r>
      <w:r w:rsidRPr="002122D2">
        <w:rPr>
          <w:rFonts w:ascii="Book Antiqua" w:hAnsi="Book Antiqua"/>
          <w:szCs w:val="24"/>
        </w:rPr>
        <w:t>II, (trad. Antonio</w:t>
      </w:r>
      <w:r w:rsidRPr="001571D9">
        <w:rPr>
          <w:rFonts w:ascii="Book Antiqua" w:hAnsi="Book Antiqua"/>
          <w:szCs w:val="24"/>
        </w:rPr>
        <w:t xml:space="preserve"> Pérez Martín</w:t>
      </w:r>
      <w:r>
        <w:rPr>
          <w:rFonts w:ascii="Book Antiqua" w:hAnsi="Book Antiqua"/>
          <w:szCs w:val="24"/>
        </w:rPr>
        <w:t>)</w:t>
      </w:r>
      <w:r w:rsidRPr="001571D9">
        <w:rPr>
          <w:rFonts w:ascii="Book Antiqua" w:hAnsi="Book Antiqua"/>
          <w:szCs w:val="24"/>
        </w:rPr>
        <w:t xml:space="preserve">, </w:t>
      </w:r>
      <w:r w:rsidRPr="006E4269">
        <w:rPr>
          <w:rFonts w:ascii="Book Antiqua" w:hAnsi="Book Antiqua"/>
          <w:szCs w:val="24"/>
        </w:rPr>
        <w:t>Fundación Cultural del Notariado,</w:t>
      </w:r>
      <w:r w:rsidRPr="001571D9">
        <w:rPr>
          <w:rFonts w:ascii="Book Antiqua" w:hAnsi="Book Antiqua"/>
          <w:szCs w:val="24"/>
        </w:rPr>
        <w:t xml:space="preserve"> Madrid, 1989, p.22 y ss.  </w:t>
      </w:r>
    </w:p>
  </w:footnote>
  <w:footnote w:id="6">
    <w:p w14:paraId="5242D28B" w14:textId="77777777" w:rsidR="004A00AB" w:rsidRPr="006E4269" w:rsidRDefault="004A00AB" w:rsidP="004A00AB">
      <w:pPr>
        <w:pStyle w:val="Textonotapie"/>
        <w:spacing w:line="360" w:lineRule="auto"/>
        <w:rPr>
          <w:rFonts w:ascii="Book Antiqua" w:hAnsi="Book Antiqua"/>
          <w:i/>
          <w:szCs w:val="24"/>
        </w:rPr>
      </w:pPr>
      <w:r w:rsidRPr="001571D9">
        <w:rPr>
          <w:rStyle w:val="Refdenotaalpie"/>
          <w:rFonts w:ascii="Book Antiqua" w:hAnsi="Book Antiqua"/>
          <w:szCs w:val="24"/>
        </w:rPr>
        <w:footnoteRef/>
      </w:r>
      <w:proofErr w:type="spellStart"/>
      <w:proofErr w:type="gramStart"/>
      <w:r w:rsidRPr="001571D9">
        <w:rPr>
          <w:rFonts w:ascii="Book Antiqua" w:hAnsi="Book Antiqua"/>
          <w:szCs w:val="24"/>
        </w:rPr>
        <w:t>Schuman,</w:t>
      </w:r>
      <w:r>
        <w:rPr>
          <w:rFonts w:ascii="Book Antiqua" w:hAnsi="Book Antiqua"/>
          <w:szCs w:val="24"/>
        </w:rPr>
        <w:t>R</w:t>
      </w:r>
      <w:proofErr w:type="spellEnd"/>
      <w:r>
        <w:rPr>
          <w:rFonts w:ascii="Book Antiqua" w:hAnsi="Book Antiqua"/>
          <w:szCs w:val="24"/>
        </w:rPr>
        <w:t>.</w:t>
      </w:r>
      <w:proofErr w:type="gramEnd"/>
      <w:r>
        <w:rPr>
          <w:rFonts w:ascii="Book Antiqua" w:hAnsi="Book Antiqua"/>
          <w:szCs w:val="24"/>
        </w:rPr>
        <w:t>,</w:t>
      </w:r>
      <w:r w:rsidRPr="001571D9">
        <w:rPr>
          <w:rFonts w:ascii="Book Antiqua" w:hAnsi="Book Antiqua"/>
          <w:szCs w:val="24"/>
        </w:rPr>
        <w:t xml:space="preserve"> en </w:t>
      </w:r>
      <w:r w:rsidRPr="006E4269">
        <w:rPr>
          <w:rFonts w:ascii="Book Antiqua" w:hAnsi="Book Antiqua"/>
          <w:szCs w:val="24"/>
        </w:rPr>
        <w:t xml:space="preserve">La Declaración de 9 de mayo de 1950, recordaba que </w:t>
      </w:r>
      <w:r w:rsidRPr="006E4269">
        <w:rPr>
          <w:rFonts w:ascii="Book Antiqua" w:hAnsi="Book Antiqua"/>
          <w:i/>
          <w:szCs w:val="24"/>
        </w:rPr>
        <w:t xml:space="preserve">la paz mundial no puede salvaguardarse sin unos esfuerzos creadores equiparables a los peligros que la amenazan. Europa no se construyó y hubo guerra. Europa no se hará de una vez ni en una obra de conjunto: se hará gracias a realizaciones concretas, que creen, en primer lugar, una solidaridad de hecho. </w:t>
      </w:r>
    </w:p>
  </w:footnote>
  <w:footnote w:id="7">
    <w:p w14:paraId="6893F6D6" w14:textId="77777777" w:rsidR="004A00AB" w:rsidRPr="001571D9" w:rsidRDefault="004A00AB" w:rsidP="004A00AB">
      <w:pPr>
        <w:pStyle w:val="Textonotapie"/>
        <w:spacing w:line="360" w:lineRule="auto"/>
        <w:rPr>
          <w:rFonts w:ascii="Book Antiqua" w:hAnsi="Book Antiqua"/>
          <w:szCs w:val="24"/>
          <w:u w:val="single"/>
        </w:rPr>
      </w:pPr>
      <w:r w:rsidRPr="001571D9">
        <w:rPr>
          <w:rStyle w:val="Refdenotaalpie"/>
          <w:rFonts w:ascii="Book Antiqua" w:hAnsi="Book Antiqua"/>
          <w:szCs w:val="24"/>
        </w:rPr>
        <w:footnoteRef/>
      </w:r>
      <w:r w:rsidRPr="001571D9">
        <w:rPr>
          <w:rFonts w:ascii="Book Antiqua" w:hAnsi="Book Antiqua"/>
          <w:szCs w:val="24"/>
        </w:rPr>
        <w:t xml:space="preserve"> GUTIERREZ ESPADA, C.</w:t>
      </w:r>
      <w:r>
        <w:rPr>
          <w:rFonts w:ascii="Book Antiqua" w:hAnsi="Book Antiqua"/>
          <w:szCs w:val="24"/>
        </w:rPr>
        <w:t>,</w:t>
      </w:r>
      <w:r w:rsidRPr="001571D9">
        <w:rPr>
          <w:rFonts w:ascii="Book Antiqua" w:hAnsi="Book Antiqua"/>
          <w:szCs w:val="24"/>
        </w:rPr>
        <w:t xml:space="preserve"> </w:t>
      </w:r>
      <w:r w:rsidRPr="001571D9">
        <w:rPr>
          <w:rFonts w:ascii="Book Antiqua" w:hAnsi="Book Antiqua"/>
          <w:i/>
          <w:szCs w:val="24"/>
        </w:rPr>
        <w:t xml:space="preserve">et. </w:t>
      </w:r>
      <w:proofErr w:type="spellStart"/>
      <w:r w:rsidRPr="001571D9">
        <w:rPr>
          <w:rFonts w:ascii="Book Antiqua" w:hAnsi="Book Antiqua"/>
          <w:i/>
          <w:szCs w:val="24"/>
        </w:rPr>
        <w:t>all</w:t>
      </w:r>
      <w:proofErr w:type="spellEnd"/>
      <w:r w:rsidRPr="001571D9">
        <w:rPr>
          <w:rFonts w:ascii="Book Antiqua" w:hAnsi="Book Antiqua"/>
          <w:szCs w:val="24"/>
        </w:rPr>
        <w:t xml:space="preserve">., </w:t>
      </w:r>
      <w:r w:rsidRPr="001571D9">
        <w:rPr>
          <w:rFonts w:ascii="Book Antiqua" w:hAnsi="Book Antiqua"/>
          <w:i/>
          <w:szCs w:val="24"/>
        </w:rPr>
        <w:t>La Unión Europea y su Derecho,</w:t>
      </w:r>
      <w:r w:rsidRPr="001571D9">
        <w:rPr>
          <w:rFonts w:ascii="Book Antiqua" w:hAnsi="Book Antiqua"/>
          <w:szCs w:val="24"/>
        </w:rPr>
        <w:t xml:space="preserve"> Madrid, 2012, pp. 255 y ss. sobre la necesidad del cumplimiento jurisdiccional de las normas comunitarias y el funcionamiento de sus órganos</w:t>
      </w:r>
      <w:r>
        <w:rPr>
          <w:rFonts w:ascii="Book Antiqua" w:hAnsi="Book Antiqua"/>
          <w:szCs w:val="24"/>
        </w:rPr>
        <w:t>.</w:t>
      </w:r>
      <w:r w:rsidRPr="001571D9">
        <w:rPr>
          <w:rFonts w:ascii="Book Antiqua" w:hAnsi="Book Antiqua"/>
          <w:szCs w:val="24"/>
          <w:u w:val="single"/>
        </w:rPr>
        <w:t xml:space="preserve"> </w:t>
      </w:r>
    </w:p>
  </w:footnote>
  <w:footnote w:id="8">
    <w:p w14:paraId="0F714F81"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Pr>
          <w:rFonts w:ascii="Book Antiqua" w:hAnsi="Book Antiqua"/>
          <w:szCs w:val="24"/>
        </w:rPr>
        <w:t xml:space="preserve"> Siendo</w:t>
      </w:r>
      <w:r w:rsidRPr="001571D9">
        <w:rPr>
          <w:rFonts w:ascii="Book Antiqua" w:hAnsi="Book Antiqua"/>
          <w:szCs w:val="24"/>
        </w:rPr>
        <w:t xml:space="preserve"> los objetivos iniciales la búsqueda de un “espacio de libertad, seguridad y justi</w:t>
      </w:r>
      <w:r>
        <w:rPr>
          <w:rFonts w:ascii="Book Antiqua" w:hAnsi="Book Antiqua"/>
          <w:szCs w:val="24"/>
        </w:rPr>
        <w:t>cia</w:t>
      </w:r>
      <w:r w:rsidRPr="001571D9">
        <w:rPr>
          <w:rFonts w:ascii="Book Antiqua" w:hAnsi="Book Antiqua"/>
          <w:szCs w:val="24"/>
        </w:rPr>
        <w:t>”</w:t>
      </w:r>
      <w:r>
        <w:rPr>
          <w:rFonts w:ascii="Book Antiqua" w:hAnsi="Book Antiqua"/>
          <w:szCs w:val="24"/>
        </w:rPr>
        <w:t>,</w:t>
      </w:r>
      <w:r w:rsidRPr="001571D9">
        <w:rPr>
          <w:rFonts w:ascii="Book Antiqua" w:hAnsi="Book Antiqua"/>
          <w:szCs w:val="24"/>
        </w:rPr>
        <w:t xml:space="preserve"> (Considerandos 1 de los Reglamentos Roma I y Roma II), lo cierto que es que las relaciones mercantiles han sido el eje sobre el que se ha desarrollado la cooperación. </w:t>
      </w:r>
      <w:r>
        <w:rPr>
          <w:rFonts w:ascii="Book Antiqua" w:hAnsi="Book Antiqua"/>
          <w:szCs w:val="24"/>
        </w:rPr>
        <w:t xml:space="preserve">Así lo manifiestan </w:t>
      </w:r>
      <w:r w:rsidRPr="001571D9">
        <w:rPr>
          <w:rFonts w:ascii="Book Antiqua" w:hAnsi="Book Antiqua"/>
          <w:szCs w:val="24"/>
        </w:rPr>
        <w:t>los Considerandos, que con el número 6 de los citados Reglamentos recuerdan</w:t>
      </w:r>
      <w:r>
        <w:rPr>
          <w:rFonts w:ascii="Book Antiqua" w:hAnsi="Book Antiqua"/>
          <w:szCs w:val="24"/>
        </w:rPr>
        <w:t xml:space="preserve"> que</w:t>
      </w:r>
      <w:r w:rsidRPr="001571D9">
        <w:rPr>
          <w:rFonts w:ascii="Book Antiqua" w:hAnsi="Book Antiqua"/>
          <w:szCs w:val="24"/>
        </w:rPr>
        <w:t xml:space="preserve"> </w:t>
      </w:r>
      <w:r w:rsidRPr="006E4269">
        <w:rPr>
          <w:rFonts w:ascii="Book Antiqua" w:hAnsi="Book Antiqua"/>
          <w:i/>
          <w:szCs w:val="24"/>
        </w:rPr>
        <w:t>el correcto funcionamiento del mercado interior exige, con el fin de favorecer la previsibilidad de los resultados de los litigios, seguridad jurídica y la libre circulación de resoluciones judiciales.</w:t>
      </w:r>
      <w:r w:rsidRPr="001571D9">
        <w:rPr>
          <w:rFonts w:ascii="Book Antiqua" w:hAnsi="Book Antiqua"/>
          <w:szCs w:val="24"/>
        </w:rPr>
        <w:t xml:space="preserve"> </w:t>
      </w:r>
    </w:p>
  </w:footnote>
  <w:footnote w:id="9">
    <w:p w14:paraId="0903C096"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w:t>
      </w:r>
      <w:r w:rsidRPr="001571D9">
        <w:rPr>
          <w:rFonts w:ascii="Book Antiqua" w:hAnsi="Book Antiqua"/>
          <w:i/>
          <w:szCs w:val="24"/>
        </w:rPr>
        <w:t xml:space="preserve">Reglamento Roma I, Art. 3: El contrato se regirá por la ley elegida por </w:t>
      </w:r>
      <w:r w:rsidRPr="006E4269">
        <w:rPr>
          <w:rFonts w:ascii="Book Antiqua" w:hAnsi="Book Antiqua"/>
          <w:i/>
          <w:szCs w:val="24"/>
        </w:rPr>
        <w:t xml:space="preserve">las </w:t>
      </w:r>
      <w:proofErr w:type="gramStart"/>
      <w:r w:rsidRPr="006E4269">
        <w:rPr>
          <w:rFonts w:ascii="Book Antiqua" w:hAnsi="Book Antiqua"/>
          <w:i/>
          <w:szCs w:val="24"/>
        </w:rPr>
        <w:t>partes..</w:t>
      </w:r>
      <w:proofErr w:type="gramEnd"/>
      <w:r w:rsidRPr="006E4269">
        <w:rPr>
          <w:rFonts w:ascii="Book Antiqua" w:hAnsi="Book Antiqua"/>
          <w:i/>
          <w:szCs w:val="24"/>
        </w:rPr>
        <w:t xml:space="preserve"> Las</w:t>
      </w:r>
      <w:r w:rsidRPr="001571D9">
        <w:rPr>
          <w:rFonts w:ascii="Book Antiqua" w:hAnsi="Book Antiqua"/>
          <w:i/>
          <w:szCs w:val="24"/>
        </w:rPr>
        <w:t xml:space="preserve"> partes podrán designar la ley aplicable a la totalidad o solamente a una parte del contrato</w:t>
      </w:r>
      <w:r w:rsidRPr="001571D9">
        <w:rPr>
          <w:rFonts w:ascii="Book Antiqua" w:hAnsi="Book Antiqua"/>
          <w:szCs w:val="24"/>
        </w:rPr>
        <w:t>.</w:t>
      </w:r>
    </w:p>
  </w:footnote>
  <w:footnote w:id="10">
    <w:p w14:paraId="70000139" w14:textId="77777777" w:rsidR="004A00AB" w:rsidRPr="001571D9" w:rsidRDefault="004A00AB" w:rsidP="004A00AB">
      <w:pPr>
        <w:pStyle w:val="Textonotapie"/>
        <w:spacing w:line="360" w:lineRule="auto"/>
        <w:rPr>
          <w:rFonts w:ascii="Book Antiqua" w:hAnsi="Book Antiqua"/>
          <w:i/>
          <w:szCs w:val="24"/>
        </w:rPr>
      </w:pPr>
      <w:r w:rsidRPr="001571D9">
        <w:rPr>
          <w:rStyle w:val="Refdenotaalpie"/>
          <w:rFonts w:ascii="Book Antiqua" w:hAnsi="Book Antiqua"/>
          <w:i/>
          <w:szCs w:val="24"/>
        </w:rPr>
        <w:footnoteRef/>
      </w:r>
      <w:r w:rsidRPr="001571D9">
        <w:rPr>
          <w:rFonts w:ascii="Book Antiqua" w:hAnsi="Book Antiqua"/>
          <w:i/>
          <w:szCs w:val="24"/>
        </w:rPr>
        <w:t xml:space="preserve"> </w:t>
      </w:r>
      <w:r w:rsidRPr="00E65CF5">
        <w:rPr>
          <w:rFonts w:ascii="Book Antiqua" w:hAnsi="Book Antiqua"/>
          <w:szCs w:val="24"/>
        </w:rPr>
        <w:t>Reglamento Roma II,</w:t>
      </w:r>
      <w:r w:rsidRPr="001571D9">
        <w:rPr>
          <w:rFonts w:ascii="Book Antiqua" w:hAnsi="Book Antiqua"/>
          <w:i/>
          <w:szCs w:val="24"/>
        </w:rPr>
        <w:t xml:space="preserve"> art. 14: Las partes podrán convenir someter la obligación extracontractual a la ley que elijan: </w:t>
      </w:r>
      <w:proofErr w:type="gramStart"/>
      <w:r w:rsidRPr="001571D9">
        <w:rPr>
          <w:rFonts w:ascii="Book Antiqua" w:hAnsi="Book Antiqua"/>
          <w:i/>
          <w:szCs w:val="24"/>
        </w:rPr>
        <w:t>a)mediante</w:t>
      </w:r>
      <w:proofErr w:type="gramEnd"/>
      <w:r w:rsidRPr="001571D9">
        <w:rPr>
          <w:rFonts w:ascii="Book Antiqua" w:hAnsi="Book Antiqua"/>
          <w:i/>
          <w:szCs w:val="24"/>
        </w:rPr>
        <w:t xml:space="preserve"> un acuerdo posterior al hecho generador del daño, o b) cuando todas las partes desarrollen una actividad comercial, también mediante un acuerdo negociado libremente antes del hecho generador del daño.</w:t>
      </w:r>
    </w:p>
  </w:footnote>
  <w:footnote w:id="11">
    <w:p w14:paraId="4B3BD387"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i/>
          <w:szCs w:val="24"/>
        </w:rPr>
        <w:footnoteRef/>
      </w:r>
      <w:r w:rsidRPr="001571D9">
        <w:rPr>
          <w:rFonts w:ascii="Book Antiqua" w:hAnsi="Book Antiqua"/>
          <w:i/>
          <w:szCs w:val="24"/>
        </w:rPr>
        <w:t xml:space="preserve"> </w:t>
      </w:r>
      <w:r w:rsidRPr="006E4269">
        <w:rPr>
          <w:rFonts w:ascii="Book Antiqua" w:hAnsi="Book Antiqua"/>
          <w:i/>
          <w:szCs w:val="24"/>
        </w:rPr>
        <w:t>Ulp.2 ed.D.5.1.1: S</w:t>
      </w:r>
      <w:r w:rsidRPr="001571D9">
        <w:rPr>
          <w:rFonts w:ascii="Book Antiqua" w:hAnsi="Book Antiqua"/>
          <w:i/>
          <w:szCs w:val="24"/>
        </w:rPr>
        <w:t xml:space="preserve">i se </w:t>
      </w:r>
      <w:proofErr w:type="spellStart"/>
      <w:r w:rsidRPr="001571D9">
        <w:rPr>
          <w:rFonts w:ascii="Book Antiqua" w:hAnsi="Book Antiqua"/>
          <w:i/>
          <w:szCs w:val="24"/>
        </w:rPr>
        <w:t>subiciant</w:t>
      </w:r>
      <w:proofErr w:type="spellEnd"/>
      <w:r w:rsidRPr="001571D9">
        <w:rPr>
          <w:rFonts w:ascii="Book Antiqua" w:hAnsi="Book Antiqua"/>
          <w:i/>
          <w:szCs w:val="24"/>
        </w:rPr>
        <w:t xml:space="preserve"> </w:t>
      </w:r>
      <w:proofErr w:type="spellStart"/>
      <w:r w:rsidRPr="001571D9">
        <w:rPr>
          <w:rFonts w:ascii="Book Antiqua" w:hAnsi="Book Antiqua"/>
          <w:i/>
          <w:szCs w:val="24"/>
        </w:rPr>
        <w:t>aliqui</w:t>
      </w:r>
      <w:proofErr w:type="spellEnd"/>
      <w:r w:rsidRPr="001571D9">
        <w:rPr>
          <w:rFonts w:ascii="Book Antiqua" w:hAnsi="Book Antiqua"/>
          <w:i/>
          <w:szCs w:val="24"/>
        </w:rPr>
        <w:t xml:space="preserve"> </w:t>
      </w:r>
      <w:proofErr w:type="spellStart"/>
      <w:r w:rsidRPr="001571D9">
        <w:rPr>
          <w:rFonts w:ascii="Book Antiqua" w:hAnsi="Book Antiqua"/>
          <w:i/>
          <w:szCs w:val="24"/>
        </w:rPr>
        <w:t>iurisdictioni</w:t>
      </w:r>
      <w:proofErr w:type="spellEnd"/>
      <w:r w:rsidRPr="001571D9">
        <w:rPr>
          <w:rFonts w:ascii="Book Antiqua" w:hAnsi="Book Antiqua"/>
          <w:i/>
          <w:szCs w:val="24"/>
        </w:rPr>
        <w:t xml:space="preserve">, et </w:t>
      </w:r>
      <w:proofErr w:type="spellStart"/>
      <w:r w:rsidRPr="001571D9">
        <w:rPr>
          <w:rFonts w:ascii="Book Antiqua" w:hAnsi="Book Antiqua"/>
          <w:i/>
          <w:szCs w:val="24"/>
        </w:rPr>
        <w:t>consentiant</w:t>
      </w:r>
      <w:proofErr w:type="spellEnd"/>
      <w:r w:rsidRPr="001571D9">
        <w:rPr>
          <w:rFonts w:ascii="Book Antiqua" w:hAnsi="Book Antiqua"/>
          <w:i/>
          <w:szCs w:val="24"/>
        </w:rPr>
        <w:t xml:space="preserve">, inter </w:t>
      </w:r>
      <w:proofErr w:type="spellStart"/>
      <w:r w:rsidRPr="001571D9">
        <w:rPr>
          <w:rFonts w:ascii="Book Antiqua" w:hAnsi="Book Antiqua"/>
          <w:i/>
          <w:szCs w:val="24"/>
        </w:rPr>
        <w:t>consentientes</w:t>
      </w:r>
      <w:proofErr w:type="spellEnd"/>
      <w:r w:rsidRPr="001571D9">
        <w:rPr>
          <w:rFonts w:ascii="Book Antiqua" w:hAnsi="Book Antiqua"/>
          <w:i/>
          <w:szCs w:val="24"/>
        </w:rPr>
        <w:t xml:space="preserve"> </w:t>
      </w:r>
      <w:proofErr w:type="spellStart"/>
      <w:r w:rsidRPr="001571D9">
        <w:rPr>
          <w:rFonts w:ascii="Book Antiqua" w:hAnsi="Book Antiqua"/>
          <w:i/>
          <w:szCs w:val="24"/>
        </w:rPr>
        <w:t>cuiusvis</w:t>
      </w:r>
      <w:proofErr w:type="spellEnd"/>
      <w:r w:rsidRPr="001571D9">
        <w:rPr>
          <w:rFonts w:ascii="Book Antiqua" w:hAnsi="Book Antiqua"/>
          <w:i/>
          <w:szCs w:val="24"/>
        </w:rPr>
        <w:t xml:space="preserve"> </w:t>
      </w:r>
      <w:proofErr w:type="spellStart"/>
      <w:r w:rsidRPr="001571D9">
        <w:rPr>
          <w:rFonts w:ascii="Book Antiqua" w:hAnsi="Book Antiqua"/>
          <w:i/>
          <w:szCs w:val="24"/>
        </w:rPr>
        <w:t>iudicis</w:t>
      </w:r>
      <w:proofErr w:type="spellEnd"/>
      <w:r w:rsidRPr="001571D9">
        <w:rPr>
          <w:rFonts w:ascii="Book Antiqua" w:hAnsi="Book Antiqua"/>
          <w:i/>
          <w:szCs w:val="24"/>
        </w:rPr>
        <w:t xml:space="preserve">, qui tribunal </w:t>
      </w:r>
      <w:proofErr w:type="spellStart"/>
      <w:r w:rsidRPr="001571D9">
        <w:rPr>
          <w:rFonts w:ascii="Book Antiqua" w:hAnsi="Book Antiqua"/>
          <w:i/>
          <w:szCs w:val="24"/>
        </w:rPr>
        <w:t>praeest</w:t>
      </w:r>
      <w:proofErr w:type="spellEnd"/>
      <w:r w:rsidRPr="001571D9">
        <w:rPr>
          <w:rFonts w:ascii="Book Antiqua" w:hAnsi="Book Antiqua"/>
          <w:i/>
          <w:szCs w:val="24"/>
        </w:rPr>
        <w:t xml:space="preserve"> </w:t>
      </w:r>
      <w:proofErr w:type="spellStart"/>
      <w:r w:rsidRPr="001571D9">
        <w:rPr>
          <w:rFonts w:ascii="Book Antiqua" w:hAnsi="Book Antiqua"/>
          <w:i/>
          <w:szCs w:val="24"/>
        </w:rPr>
        <w:t>vel</w:t>
      </w:r>
      <w:proofErr w:type="spellEnd"/>
      <w:r w:rsidRPr="001571D9">
        <w:rPr>
          <w:rFonts w:ascii="Book Antiqua" w:hAnsi="Book Antiqua"/>
          <w:i/>
          <w:szCs w:val="24"/>
        </w:rPr>
        <w:t xml:space="preserve"> </w:t>
      </w:r>
      <w:proofErr w:type="spellStart"/>
      <w:r w:rsidRPr="001571D9">
        <w:rPr>
          <w:rFonts w:ascii="Book Antiqua" w:hAnsi="Book Antiqua"/>
          <w:i/>
          <w:szCs w:val="24"/>
        </w:rPr>
        <w:t>aliam</w:t>
      </w:r>
      <w:proofErr w:type="spellEnd"/>
      <w:r w:rsidRPr="001571D9">
        <w:rPr>
          <w:rFonts w:ascii="Book Antiqua" w:hAnsi="Book Antiqua"/>
          <w:i/>
          <w:szCs w:val="24"/>
        </w:rPr>
        <w:t xml:space="preserve"> </w:t>
      </w:r>
      <w:proofErr w:type="spellStart"/>
      <w:r w:rsidRPr="001571D9">
        <w:rPr>
          <w:rFonts w:ascii="Book Antiqua" w:hAnsi="Book Antiqua"/>
          <w:i/>
          <w:szCs w:val="24"/>
        </w:rPr>
        <w:t>iurisdictionem</w:t>
      </w:r>
      <w:proofErr w:type="spellEnd"/>
      <w:r w:rsidRPr="001571D9">
        <w:rPr>
          <w:rFonts w:ascii="Book Antiqua" w:hAnsi="Book Antiqua"/>
          <w:i/>
          <w:szCs w:val="24"/>
        </w:rPr>
        <w:t xml:space="preserve"> </w:t>
      </w:r>
      <w:proofErr w:type="spellStart"/>
      <w:r w:rsidRPr="001571D9">
        <w:rPr>
          <w:rFonts w:ascii="Book Antiqua" w:hAnsi="Book Antiqua"/>
          <w:i/>
          <w:szCs w:val="24"/>
        </w:rPr>
        <w:t>habet</w:t>
      </w:r>
      <w:proofErr w:type="spellEnd"/>
      <w:r w:rsidRPr="001571D9">
        <w:rPr>
          <w:rFonts w:ascii="Book Antiqua" w:hAnsi="Book Antiqua"/>
          <w:i/>
          <w:szCs w:val="24"/>
        </w:rPr>
        <w:t xml:space="preserve">, </w:t>
      </w:r>
      <w:proofErr w:type="spellStart"/>
      <w:r w:rsidRPr="001571D9">
        <w:rPr>
          <w:rFonts w:ascii="Book Antiqua" w:hAnsi="Book Antiqua"/>
          <w:i/>
          <w:szCs w:val="24"/>
        </w:rPr>
        <w:t>est</w:t>
      </w:r>
      <w:proofErr w:type="spellEnd"/>
      <w:r w:rsidRPr="001571D9">
        <w:rPr>
          <w:rFonts w:ascii="Book Antiqua" w:hAnsi="Book Antiqua"/>
          <w:i/>
          <w:szCs w:val="24"/>
        </w:rPr>
        <w:t xml:space="preserve"> </w:t>
      </w:r>
      <w:proofErr w:type="spellStart"/>
      <w:r w:rsidRPr="001571D9">
        <w:rPr>
          <w:rFonts w:ascii="Book Antiqua" w:hAnsi="Book Antiqua"/>
          <w:i/>
          <w:szCs w:val="24"/>
        </w:rPr>
        <w:t>iurisdictio</w:t>
      </w:r>
      <w:proofErr w:type="spellEnd"/>
      <w:r w:rsidRPr="001571D9">
        <w:rPr>
          <w:rFonts w:ascii="Book Antiqua" w:hAnsi="Book Antiqua"/>
          <w:i/>
          <w:szCs w:val="24"/>
        </w:rPr>
        <w:t xml:space="preserve">. </w:t>
      </w:r>
      <w:proofErr w:type="spellStart"/>
      <w:r w:rsidRPr="00D14817">
        <w:rPr>
          <w:rFonts w:ascii="Book Antiqua" w:hAnsi="Book Antiqua"/>
          <w:i/>
          <w:szCs w:val="24"/>
          <w:lang w:val="en-US"/>
        </w:rPr>
        <w:t>Ulp</w:t>
      </w:r>
      <w:proofErr w:type="spellEnd"/>
      <w:r w:rsidRPr="00D14817">
        <w:rPr>
          <w:rFonts w:ascii="Book Antiqua" w:hAnsi="Book Antiqua"/>
          <w:i/>
          <w:szCs w:val="24"/>
          <w:lang w:val="en-US"/>
        </w:rPr>
        <w:t>.  3 ed</w:t>
      </w:r>
      <w:r w:rsidRPr="00D14817">
        <w:rPr>
          <w:rFonts w:ascii="Book Antiqua" w:hAnsi="Book Antiqua"/>
          <w:szCs w:val="24"/>
          <w:lang w:val="en-US"/>
        </w:rPr>
        <w:t>. D.5.1.2pr</w:t>
      </w:r>
      <w:r w:rsidRPr="00D14817">
        <w:rPr>
          <w:rFonts w:ascii="Book Antiqua" w:hAnsi="Book Antiqua"/>
          <w:i/>
          <w:szCs w:val="24"/>
          <w:lang w:val="en-US"/>
        </w:rPr>
        <w:t xml:space="preserve">.: </w:t>
      </w:r>
      <w:proofErr w:type="spellStart"/>
      <w:r w:rsidRPr="00D14817">
        <w:rPr>
          <w:rFonts w:ascii="Book Antiqua" w:hAnsi="Book Antiqua"/>
          <w:i/>
          <w:szCs w:val="24"/>
          <w:lang w:val="en-US"/>
        </w:rPr>
        <w:t>Consensisse</w:t>
      </w:r>
      <w:proofErr w:type="spellEnd"/>
      <w:r w:rsidRPr="00D14817">
        <w:rPr>
          <w:rFonts w:ascii="Book Antiqua" w:hAnsi="Book Antiqua"/>
          <w:i/>
          <w:szCs w:val="24"/>
          <w:lang w:val="en-US"/>
        </w:rPr>
        <w:t xml:space="preserve"> </w:t>
      </w:r>
      <w:proofErr w:type="spellStart"/>
      <w:r w:rsidRPr="00D14817">
        <w:rPr>
          <w:rFonts w:ascii="Book Antiqua" w:hAnsi="Book Antiqua"/>
          <w:i/>
          <w:szCs w:val="24"/>
          <w:lang w:val="en-US"/>
        </w:rPr>
        <w:t>autem</w:t>
      </w:r>
      <w:proofErr w:type="spellEnd"/>
      <w:r w:rsidRPr="00D14817">
        <w:rPr>
          <w:rFonts w:ascii="Book Antiqua" w:hAnsi="Book Antiqua"/>
          <w:i/>
          <w:szCs w:val="24"/>
          <w:lang w:val="en-US"/>
        </w:rPr>
        <w:t xml:space="preserve"> </w:t>
      </w:r>
      <w:proofErr w:type="spellStart"/>
      <w:r w:rsidRPr="00D14817">
        <w:rPr>
          <w:rFonts w:ascii="Book Antiqua" w:hAnsi="Book Antiqua"/>
          <w:i/>
          <w:szCs w:val="24"/>
          <w:lang w:val="en-US"/>
        </w:rPr>
        <w:t>videntur</w:t>
      </w:r>
      <w:proofErr w:type="spellEnd"/>
      <w:r w:rsidRPr="00D14817">
        <w:rPr>
          <w:rFonts w:ascii="Book Antiqua" w:hAnsi="Book Antiqua"/>
          <w:i/>
          <w:szCs w:val="24"/>
          <w:lang w:val="en-US"/>
        </w:rPr>
        <w:t xml:space="preserve">, qui </w:t>
      </w:r>
      <w:proofErr w:type="spellStart"/>
      <w:r w:rsidRPr="00D14817">
        <w:rPr>
          <w:rFonts w:ascii="Book Antiqua" w:hAnsi="Book Antiqua"/>
          <w:i/>
          <w:szCs w:val="24"/>
          <w:lang w:val="en-US"/>
        </w:rPr>
        <w:t>sciant</w:t>
      </w:r>
      <w:proofErr w:type="spellEnd"/>
      <w:r w:rsidRPr="00D14817">
        <w:rPr>
          <w:rFonts w:ascii="Book Antiqua" w:hAnsi="Book Antiqua"/>
          <w:i/>
          <w:szCs w:val="24"/>
          <w:lang w:val="en-US"/>
        </w:rPr>
        <w:t xml:space="preserve"> se non </w:t>
      </w:r>
      <w:proofErr w:type="spellStart"/>
      <w:r w:rsidRPr="00D14817">
        <w:rPr>
          <w:rFonts w:ascii="Book Antiqua" w:hAnsi="Book Antiqua"/>
          <w:i/>
          <w:szCs w:val="24"/>
          <w:lang w:val="en-US"/>
        </w:rPr>
        <w:t>esse</w:t>
      </w:r>
      <w:proofErr w:type="spellEnd"/>
      <w:r w:rsidRPr="00D14817">
        <w:rPr>
          <w:rFonts w:ascii="Book Antiqua" w:hAnsi="Book Antiqua"/>
          <w:i/>
          <w:szCs w:val="24"/>
          <w:lang w:val="en-US"/>
        </w:rPr>
        <w:t xml:space="preserve"> </w:t>
      </w:r>
      <w:proofErr w:type="spellStart"/>
      <w:r w:rsidRPr="00D14817">
        <w:rPr>
          <w:rFonts w:ascii="Book Antiqua" w:hAnsi="Book Antiqua"/>
          <w:i/>
          <w:szCs w:val="24"/>
          <w:lang w:val="en-US"/>
        </w:rPr>
        <w:t>subiectos</w:t>
      </w:r>
      <w:proofErr w:type="spellEnd"/>
      <w:r w:rsidRPr="00D14817">
        <w:rPr>
          <w:rFonts w:ascii="Book Antiqua" w:hAnsi="Book Antiqua"/>
          <w:i/>
          <w:szCs w:val="24"/>
          <w:lang w:val="en-US"/>
        </w:rPr>
        <w:t xml:space="preserve"> </w:t>
      </w:r>
      <w:proofErr w:type="spellStart"/>
      <w:r w:rsidRPr="00D14817">
        <w:rPr>
          <w:rFonts w:ascii="Book Antiqua" w:hAnsi="Book Antiqua"/>
          <w:i/>
          <w:szCs w:val="24"/>
          <w:lang w:val="en-US"/>
        </w:rPr>
        <w:t>iurisdictioni</w:t>
      </w:r>
      <w:proofErr w:type="spellEnd"/>
      <w:r w:rsidRPr="00D14817">
        <w:rPr>
          <w:rFonts w:ascii="Book Antiqua" w:hAnsi="Book Antiqua"/>
          <w:i/>
          <w:szCs w:val="24"/>
          <w:lang w:val="en-US"/>
        </w:rPr>
        <w:t xml:space="preserve"> </w:t>
      </w:r>
      <w:proofErr w:type="spellStart"/>
      <w:r w:rsidRPr="00D14817">
        <w:rPr>
          <w:rFonts w:ascii="Book Antiqua" w:hAnsi="Book Antiqua"/>
          <w:i/>
          <w:szCs w:val="24"/>
          <w:lang w:val="en-US"/>
        </w:rPr>
        <w:t>eius</w:t>
      </w:r>
      <w:proofErr w:type="spellEnd"/>
      <w:r w:rsidRPr="00D14817">
        <w:rPr>
          <w:rFonts w:ascii="Book Antiqua" w:hAnsi="Book Antiqua"/>
          <w:i/>
          <w:szCs w:val="24"/>
          <w:lang w:val="en-US"/>
        </w:rPr>
        <w:t xml:space="preserve"> et in </w:t>
      </w:r>
      <w:proofErr w:type="spellStart"/>
      <w:r w:rsidRPr="00D14817">
        <w:rPr>
          <w:rFonts w:ascii="Book Antiqua" w:hAnsi="Book Antiqua"/>
          <w:i/>
          <w:szCs w:val="24"/>
          <w:lang w:val="en-US"/>
        </w:rPr>
        <w:t>eum</w:t>
      </w:r>
      <w:proofErr w:type="spellEnd"/>
      <w:r w:rsidRPr="00D14817">
        <w:rPr>
          <w:rFonts w:ascii="Book Antiqua" w:hAnsi="Book Antiqua"/>
          <w:i/>
          <w:szCs w:val="24"/>
          <w:lang w:val="en-US"/>
        </w:rPr>
        <w:t xml:space="preserve"> </w:t>
      </w:r>
      <w:proofErr w:type="spellStart"/>
      <w:r w:rsidRPr="00D14817">
        <w:rPr>
          <w:rFonts w:ascii="Book Antiqua" w:hAnsi="Book Antiqua"/>
          <w:i/>
          <w:szCs w:val="24"/>
          <w:lang w:val="en-US"/>
        </w:rPr>
        <w:t>consentiam</w:t>
      </w:r>
      <w:proofErr w:type="spellEnd"/>
      <w:r w:rsidRPr="00D14817">
        <w:rPr>
          <w:rFonts w:ascii="Book Antiqua" w:hAnsi="Book Antiqua"/>
          <w:i/>
          <w:szCs w:val="24"/>
          <w:lang w:val="en-US"/>
        </w:rPr>
        <w:t xml:space="preserve">... </w:t>
      </w:r>
      <w:r w:rsidRPr="001571D9">
        <w:rPr>
          <w:rFonts w:ascii="Book Antiqua" w:hAnsi="Book Antiqua"/>
          <w:szCs w:val="24"/>
        </w:rPr>
        <w:t xml:space="preserve">Sobre sumisión en Roma vid. </w:t>
      </w:r>
      <w:proofErr w:type="spellStart"/>
      <w:proofErr w:type="gramStart"/>
      <w:r w:rsidRPr="001571D9">
        <w:rPr>
          <w:rFonts w:ascii="Book Antiqua" w:hAnsi="Book Antiqua"/>
          <w:szCs w:val="24"/>
        </w:rPr>
        <w:t>SCIALOIA,V</w:t>
      </w:r>
      <w:proofErr w:type="spellEnd"/>
      <w:r w:rsidRPr="001571D9">
        <w:rPr>
          <w:rFonts w:ascii="Book Antiqua" w:hAnsi="Book Antiqua"/>
          <w:szCs w:val="24"/>
        </w:rPr>
        <w:t>.</w:t>
      </w:r>
      <w:proofErr w:type="gramEnd"/>
      <w:r w:rsidRPr="001571D9">
        <w:rPr>
          <w:rFonts w:ascii="Book Antiqua" w:hAnsi="Book Antiqua"/>
          <w:szCs w:val="24"/>
        </w:rPr>
        <w:t xml:space="preserve">, </w:t>
      </w:r>
      <w:proofErr w:type="spellStart"/>
      <w:r w:rsidRPr="001571D9">
        <w:rPr>
          <w:rFonts w:ascii="Book Antiqua" w:hAnsi="Book Antiqua"/>
          <w:i/>
          <w:iCs/>
          <w:szCs w:val="24"/>
        </w:rPr>
        <w:t>Procedura</w:t>
      </w:r>
      <w:proofErr w:type="spellEnd"/>
      <w:r w:rsidRPr="001571D9">
        <w:rPr>
          <w:rFonts w:ascii="Book Antiqua" w:hAnsi="Book Antiqua"/>
          <w:i/>
          <w:iCs/>
          <w:szCs w:val="24"/>
        </w:rPr>
        <w:t xml:space="preserve"> </w:t>
      </w:r>
      <w:proofErr w:type="spellStart"/>
      <w:r w:rsidRPr="001571D9">
        <w:rPr>
          <w:rFonts w:ascii="Book Antiqua" w:hAnsi="Book Antiqua"/>
          <w:i/>
          <w:iCs/>
          <w:szCs w:val="24"/>
        </w:rPr>
        <w:t>civile</w:t>
      </w:r>
      <w:proofErr w:type="spellEnd"/>
      <w:r w:rsidRPr="001571D9">
        <w:rPr>
          <w:rFonts w:ascii="Book Antiqua" w:hAnsi="Book Antiqua"/>
          <w:i/>
          <w:iCs/>
          <w:szCs w:val="24"/>
        </w:rPr>
        <w:t xml:space="preserve"> romana</w:t>
      </w:r>
      <w:r w:rsidRPr="001571D9">
        <w:rPr>
          <w:rFonts w:ascii="Book Antiqua" w:hAnsi="Book Antiqua"/>
          <w:szCs w:val="24"/>
        </w:rPr>
        <w:t>,</w:t>
      </w:r>
      <w:r>
        <w:rPr>
          <w:rFonts w:ascii="Book Antiqua" w:hAnsi="Book Antiqua"/>
          <w:szCs w:val="24"/>
        </w:rPr>
        <w:t xml:space="preserve"> </w:t>
      </w:r>
      <w:proofErr w:type="spellStart"/>
      <w:r>
        <w:rPr>
          <w:rFonts w:ascii="Book Antiqua" w:hAnsi="Book Antiqua"/>
          <w:szCs w:val="24"/>
        </w:rPr>
        <w:t>op</w:t>
      </w:r>
      <w:proofErr w:type="spellEnd"/>
      <w:r>
        <w:rPr>
          <w:rFonts w:ascii="Book Antiqua" w:hAnsi="Book Antiqua"/>
          <w:szCs w:val="24"/>
        </w:rPr>
        <w:t xml:space="preserve">. </w:t>
      </w:r>
      <w:r w:rsidRPr="006E4269">
        <w:rPr>
          <w:rFonts w:ascii="Book Antiqua" w:hAnsi="Book Antiqua"/>
          <w:szCs w:val="24"/>
        </w:rPr>
        <w:t>cit.</w:t>
      </w:r>
      <w:r w:rsidRPr="001571D9">
        <w:rPr>
          <w:rFonts w:ascii="Book Antiqua" w:hAnsi="Book Antiqua"/>
          <w:szCs w:val="24"/>
        </w:rPr>
        <w:t xml:space="preserve"> p.92 y ss.</w:t>
      </w:r>
      <w:r>
        <w:rPr>
          <w:rFonts w:ascii="Book Antiqua" w:hAnsi="Book Antiqua"/>
          <w:szCs w:val="24"/>
        </w:rPr>
        <w:t>;</w:t>
      </w:r>
      <w:r w:rsidRPr="001571D9">
        <w:rPr>
          <w:rFonts w:ascii="Book Antiqua" w:hAnsi="Book Antiqua"/>
          <w:szCs w:val="24"/>
        </w:rPr>
        <w:t xml:space="preserve"> ZIEGLER, </w:t>
      </w:r>
      <w:r>
        <w:rPr>
          <w:rFonts w:ascii="Book Antiqua" w:hAnsi="Book Antiqua"/>
          <w:szCs w:val="24"/>
        </w:rPr>
        <w:t>K</w:t>
      </w:r>
      <w:r w:rsidRPr="001571D9">
        <w:rPr>
          <w:rFonts w:ascii="Book Antiqua" w:hAnsi="Book Antiqua"/>
          <w:szCs w:val="24"/>
        </w:rPr>
        <w:t xml:space="preserve">., </w:t>
      </w:r>
      <w:r w:rsidRPr="00AB3C5A">
        <w:rPr>
          <w:rFonts w:ascii="Book Antiqua" w:hAnsi="Book Antiqua"/>
          <w:szCs w:val="24"/>
        </w:rPr>
        <w:t>“</w:t>
      </w:r>
      <w:proofErr w:type="spellStart"/>
      <w:r w:rsidRPr="00AB3C5A">
        <w:rPr>
          <w:rFonts w:ascii="Book Antiqua" w:hAnsi="Book Antiqua"/>
          <w:szCs w:val="24"/>
        </w:rPr>
        <w:t>Kompetenzvereinvarungen</w:t>
      </w:r>
      <w:proofErr w:type="spellEnd"/>
      <w:r w:rsidRPr="00AB3C5A">
        <w:rPr>
          <w:rFonts w:ascii="Book Antiqua" w:hAnsi="Book Antiqua"/>
          <w:szCs w:val="24"/>
        </w:rPr>
        <w:t xml:space="preserve"> in </w:t>
      </w:r>
      <w:proofErr w:type="spellStart"/>
      <w:r w:rsidRPr="00AB3C5A">
        <w:rPr>
          <w:rFonts w:ascii="Book Antiqua" w:hAnsi="Book Antiqua"/>
          <w:szCs w:val="24"/>
        </w:rPr>
        <w:t>römisches</w:t>
      </w:r>
      <w:proofErr w:type="spellEnd"/>
      <w:r w:rsidRPr="00AB3C5A">
        <w:rPr>
          <w:rFonts w:ascii="Book Antiqua" w:hAnsi="Book Antiqua"/>
          <w:szCs w:val="24"/>
        </w:rPr>
        <w:t xml:space="preserve"> </w:t>
      </w:r>
      <w:proofErr w:type="spellStart"/>
      <w:r w:rsidRPr="00AB3C5A">
        <w:rPr>
          <w:rFonts w:ascii="Book Antiqua" w:hAnsi="Book Antiqua"/>
          <w:szCs w:val="24"/>
        </w:rPr>
        <w:t>Zivilprozesrecht</w:t>
      </w:r>
      <w:proofErr w:type="spellEnd"/>
      <w:r w:rsidRPr="00AB3C5A">
        <w:rPr>
          <w:rFonts w:ascii="Book Antiqua" w:hAnsi="Book Antiqua"/>
          <w:szCs w:val="24"/>
        </w:rPr>
        <w:t>”,</w:t>
      </w:r>
      <w:r w:rsidRPr="001571D9">
        <w:rPr>
          <w:rFonts w:ascii="Book Antiqua" w:hAnsi="Book Antiqua"/>
          <w:szCs w:val="24"/>
        </w:rPr>
        <w:t xml:space="preserve"> en </w:t>
      </w:r>
      <w:proofErr w:type="spellStart"/>
      <w:r w:rsidRPr="001571D9">
        <w:rPr>
          <w:rFonts w:ascii="Book Antiqua" w:hAnsi="Book Antiqua"/>
          <w:i/>
          <w:szCs w:val="24"/>
        </w:rPr>
        <w:t>Festschrift</w:t>
      </w:r>
      <w:proofErr w:type="spellEnd"/>
      <w:r w:rsidRPr="001571D9">
        <w:rPr>
          <w:rFonts w:ascii="Book Antiqua" w:hAnsi="Book Antiqua"/>
          <w:i/>
          <w:szCs w:val="24"/>
        </w:rPr>
        <w:t xml:space="preserve"> </w:t>
      </w:r>
      <w:proofErr w:type="spellStart"/>
      <w:r w:rsidRPr="001571D9">
        <w:rPr>
          <w:rFonts w:ascii="Book Antiqua" w:hAnsi="Book Antiqua"/>
          <w:i/>
          <w:szCs w:val="24"/>
        </w:rPr>
        <w:t>Kasser</w:t>
      </w:r>
      <w:proofErr w:type="spellEnd"/>
      <w:r w:rsidRPr="001571D9">
        <w:rPr>
          <w:rFonts w:ascii="Book Antiqua" w:hAnsi="Book Antiqua"/>
          <w:szCs w:val="24"/>
        </w:rPr>
        <w:t xml:space="preserve">, </w:t>
      </w:r>
      <w:proofErr w:type="spellStart"/>
      <w:r w:rsidRPr="001571D9">
        <w:rPr>
          <w:rFonts w:ascii="Book Antiqua" w:hAnsi="Book Antiqua"/>
          <w:szCs w:val="24"/>
        </w:rPr>
        <w:t>Munich</w:t>
      </w:r>
      <w:proofErr w:type="spellEnd"/>
      <w:r w:rsidRPr="001571D9">
        <w:rPr>
          <w:rFonts w:ascii="Book Antiqua" w:hAnsi="Book Antiqua"/>
          <w:szCs w:val="24"/>
        </w:rPr>
        <w:t>, 1976,</w:t>
      </w:r>
      <w:r>
        <w:rPr>
          <w:rFonts w:ascii="Book Antiqua" w:hAnsi="Book Antiqua"/>
          <w:szCs w:val="24"/>
        </w:rPr>
        <w:t xml:space="preserve"> </w:t>
      </w:r>
      <w:r w:rsidRPr="001571D9">
        <w:rPr>
          <w:rFonts w:ascii="Book Antiqua" w:hAnsi="Book Antiqua"/>
          <w:szCs w:val="24"/>
        </w:rPr>
        <w:t xml:space="preserve">pp. 557-575. </w:t>
      </w:r>
    </w:p>
  </w:footnote>
  <w:footnote w:id="12">
    <w:p w14:paraId="512ECA91"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w:t>
      </w:r>
      <w:r w:rsidRPr="006E4269">
        <w:rPr>
          <w:rFonts w:ascii="Book Antiqua" w:hAnsi="Book Antiqua"/>
          <w:i/>
          <w:szCs w:val="24"/>
        </w:rPr>
        <w:t xml:space="preserve">C. 3.13.1 </w:t>
      </w:r>
      <w:proofErr w:type="spellStart"/>
      <w:r w:rsidRPr="006E4269">
        <w:rPr>
          <w:rFonts w:ascii="Book Antiqua" w:hAnsi="Book Antiqua"/>
          <w:i/>
          <w:szCs w:val="24"/>
        </w:rPr>
        <w:t>pr</w:t>
      </w:r>
      <w:proofErr w:type="spellEnd"/>
      <w:r w:rsidRPr="006E4269">
        <w:rPr>
          <w:rFonts w:ascii="Book Antiqua" w:hAnsi="Book Antiqua"/>
          <w:i/>
          <w:szCs w:val="24"/>
        </w:rPr>
        <w:t>. (Anton.</w:t>
      </w:r>
      <w:r w:rsidRPr="006E4269">
        <w:rPr>
          <w:rFonts w:ascii="Book Antiqua" w:hAnsi="Book Antiqua"/>
          <w:szCs w:val="24"/>
        </w:rPr>
        <w:t>214</w:t>
      </w:r>
      <w:r w:rsidRPr="006E4269">
        <w:rPr>
          <w:rFonts w:ascii="Book Antiqua" w:hAnsi="Book Antiqua"/>
          <w:i/>
          <w:szCs w:val="24"/>
        </w:rPr>
        <w:t>).</w:t>
      </w:r>
    </w:p>
  </w:footnote>
  <w:footnote w:id="13">
    <w:p w14:paraId="0B1E056E"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Art. 3</w:t>
      </w:r>
      <w:r>
        <w:rPr>
          <w:rFonts w:ascii="Book Antiqua" w:hAnsi="Book Antiqua"/>
          <w:szCs w:val="24"/>
        </w:rPr>
        <w:t xml:space="preserve"> del </w:t>
      </w:r>
      <w:r w:rsidRPr="001571D9">
        <w:rPr>
          <w:rFonts w:ascii="Book Antiqua" w:hAnsi="Book Antiqua"/>
          <w:szCs w:val="24"/>
        </w:rPr>
        <w:t>Reglamento</w:t>
      </w:r>
      <w:r>
        <w:rPr>
          <w:rFonts w:ascii="Book Antiqua" w:hAnsi="Book Antiqua"/>
          <w:szCs w:val="24"/>
        </w:rPr>
        <w:t xml:space="preserve"> Roma I y art.  </w:t>
      </w:r>
      <w:r w:rsidRPr="001571D9">
        <w:rPr>
          <w:rFonts w:ascii="Book Antiqua" w:hAnsi="Book Antiqua"/>
          <w:szCs w:val="24"/>
        </w:rPr>
        <w:t>14</w:t>
      </w:r>
      <w:r>
        <w:rPr>
          <w:rFonts w:ascii="Book Antiqua" w:hAnsi="Book Antiqua"/>
          <w:szCs w:val="24"/>
        </w:rPr>
        <w:t xml:space="preserve"> del </w:t>
      </w:r>
      <w:r w:rsidRPr="001571D9">
        <w:rPr>
          <w:rFonts w:ascii="Book Antiqua" w:hAnsi="Book Antiqua"/>
          <w:szCs w:val="24"/>
        </w:rPr>
        <w:t>Reglamento</w:t>
      </w:r>
      <w:r>
        <w:rPr>
          <w:rFonts w:ascii="Book Antiqua" w:hAnsi="Book Antiqua"/>
          <w:szCs w:val="24"/>
        </w:rPr>
        <w:t xml:space="preserve"> Roma II.</w:t>
      </w:r>
    </w:p>
  </w:footnote>
  <w:footnote w:id="14">
    <w:p w14:paraId="19C2FDE4"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Sobre prórroga de la competencia </w:t>
      </w:r>
      <w:r>
        <w:rPr>
          <w:rFonts w:ascii="Book Antiqua" w:hAnsi="Book Antiqua"/>
          <w:szCs w:val="24"/>
        </w:rPr>
        <w:t xml:space="preserve">vid. artículos 25 y 26 del </w:t>
      </w:r>
      <w:r w:rsidRPr="001571D9">
        <w:rPr>
          <w:rFonts w:ascii="Book Antiqua" w:hAnsi="Book Antiqua"/>
          <w:szCs w:val="24"/>
        </w:rPr>
        <w:t xml:space="preserve">Reglamento </w:t>
      </w:r>
      <w:r>
        <w:rPr>
          <w:rFonts w:ascii="Book Antiqua" w:hAnsi="Book Antiqua"/>
          <w:szCs w:val="24"/>
        </w:rPr>
        <w:t>Bruselas I-bis.</w:t>
      </w:r>
      <w:r w:rsidRPr="001571D9">
        <w:rPr>
          <w:rFonts w:ascii="Book Antiqua" w:hAnsi="Book Antiqua"/>
          <w:szCs w:val="24"/>
        </w:rPr>
        <w:t xml:space="preserve"> Destaca en esta regulación la novedad de desvincular el acuerdo de sumisión respecto del propio contrato suscrito, de manera que la impugnación del contrato no podrá evitar a las partes que la cláusula de sumisión tenga validez desplegando sus efectos, con independencia de la validez de otras cláusulas del contrato o de la totalidad </w:t>
      </w:r>
      <w:proofErr w:type="gramStart"/>
      <w:r w:rsidRPr="001571D9">
        <w:rPr>
          <w:rFonts w:ascii="Book Antiqua" w:hAnsi="Book Antiqua"/>
          <w:szCs w:val="24"/>
        </w:rPr>
        <w:t>del mismo</w:t>
      </w:r>
      <w:proofErr w:type="gramEnd"/>
      <w:r w:rsidRPr="001571D9">
        <w:rPr>
          <w:rFonts w:ascii="Book Antiqua" w:hAnsi="Book Antiqua"/>
          <w:szCs w:val="24"/>
        </w:rPr>
        <w:t xml:space="preserve"> (art. 25.3.5). En la regulación reglamentaria de la Unión se excluye expresamente su aplicación al arbitraje, como institución jurídica distinta de la sumisión de las partes a jueces de los Estados de UE. </w:t>
      </w:r>
    </w:p>
  </w:footnote>
  <w:footnote w:id="15">
    <w:p w14:paraId="6892DEC1"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El </w:t>
      </w:r>
      <w:r>
        <w:rPr>
          <w:rFonts w:ascii="Book Antiqua" w:hAnsi="Book Antiqua"/>
          <w:szCs w:val="24"/>
        </w:rPr>
        <w:t xml:space="preserve">Reglamento Bruselas I-bis cit. </w:t>
      </w:r>
      <w:r w:rsidRPr="001571D9">
        <w:rPr>
          <w:rFonts w:ascii="Book Antiqua" w:hAnsi="Book Antiqua"/>
          <w:szCs w:val="24"/>
        </w:rPr>
        <w:t>en su Considerando 15 utiliza el concepto “alto grado de previsibilidad” de las normas competenciales y la referencia al domicilio del demandado como principio general. Ciertamente, aunque se deja una puerta abierta a la interpretación jurisprudencial, sí permite a los contratantes saber en el momento de la negociación el juzgador, lugar y normas previsiblemente aplicables en el supuesto de qu</w:t>
      </w:r>
      <w:r>
        <w:rPr>
          <w:rFonts w:ascii="Book Antiqua" w:hAnsi="Book Antiqua"/>
          <w:szCs w:val="24"/>
        </w:rPr>
        <w:t>e existiese futuro litigio. Con el mismo fin vid.</w:t>
      </w:r>
      <w:r w:rsidRPr="001571D9">
        <w:rPr>
          <w:rFonts w:ascii="Book Antiqua" w:hAnsi="Book Antiqua"/>
          <w:szCs w:val="24"/>
        </w:rPr>
        <w:t xml:space="preserve"> Considerando 6, Reglamento Roma I</w:t>
      </w:r>
      <w:r w:rsidRPr="001571D9">
        <w:rPr>
          <w:rFonts w:ascii="Book Antiqua" w:hAnsi="Book Antiqua"/>
          <w:i/>
          <w:szCs w:val="24"/>
        </w:rPr>
        <w:t xml:space="preserve">: El correcto funcionamiento del mercado interior </w:t>
      </w:r>
      <w:proofErr w:type="gramStart"/>
      <w:r w:rsidRPr="001571D9">
        <w:rPr>
          <w:rFonts w:ascii="Book Antiqua" w:hAnsi="Book Antiqua"/>
          <w:i/>
          <w:szCs w:val="24"/>
        </w:rPr>
        <w:t>exige,  con</w:t>
      </w:r>
      <w:proofErr w:type="gramEnd"/>
      <w:r w:rsidRPr="001571D9">
        <w:rPr>
          <w:rFonts w:ascii="Book Antiqua" w:hAnsi="Book Antiqua"/>
          <w:i/>
          <w:szCs w:val="24"/>
        </w:rPr>
        <w:t xml:space="preserve"> el fin de favorecer la previsibilidad  del resultado de los litigios, .. que las normas de conflicto de leyes vigentes en los Estados </w:t>
      </w:r>
      <w:proofErr w:type="gramStart"/>
      <w:r w:rsidRPr="001571D9">
        <w:rPr>
          <w:rFonts w:ascii="Book Antiqua" w:hAnsi="Book Antiqua"/>
          <w:i/>
          <w:szCs w:val="24"/>
        </w:rPr>
        <w:t>miembros  designen</w:t>
      </w:r>
      <w:proofErr w:type="gramEnd"/>
      <w:r w:rsidRPr="001571D9">
        <w:rPr>
          <w:rFonts w:ascii="Book Antiqua" w:hAnsi="Book Antiqua"/>
          <w:i/>
          <w:szCs w:val="24"/>
        </w:rPr>
        <w:t xml:space="preserve"> la misma ley nacional</w:t>
      </w:r>
      <w:r w:rsidRPr="001571D9">
        <w:rPr>
          <w:rFonts w:ascii="Book Antiqua" w:hAnsi="Book Antiqua"/>
          <w:szCs w:val="24"/>
        </w:rPr>
        <w:t>..”.</w:t>
      </w:r>
    </w:p>
  </w:footnote>
  <w:footnote w:id="16">
    <w:p w14:paraId="65788487"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Sobre competencia jurisdiccional en Roma vid. GIRARD, P. F., </w:t>
      </w:r>
      <w:proofErr w:type="spellStart"/>
      <w:r w:rsidRPr="001571D9">
        <w:rPr>
          <w:rFonts w:ascii="Book Antiqua" w:hAnsi="Book Antiqua"/>
          <w:i/>
          <w:szCs w:val="24"/>
        </w:rPr>
        <w:t>Histoire</w:t>
      </w:r>
      <w:proofErr w:type="spellEnd"/>
      <w:r w:rsidRPr="001571D9">
        <w:rPr>
          <w:rFonts w:ascii="Book Antiqua" w:hAnsi="Book Antiqua"/>
          <w:i/>
          <w:szCs w:val="24"/>
        </w:rPr>
        <w:t xml:space="preserve"> de </w:t>
      </w:r>
      <w:proofErr w:type="spellStart"/>
      <w:r w:rsidRPr="001571D9">
        <w:rPr>
          <w:rFonts w:ascii="Book Antiqua" w:hAnsi="Book Antiqua"/>
          <w:i/>
          <w:szCs w:val="24"/>
        </w:rPr>
        <w:t>l´organisation</w:t>
      </w:r>
      <w:proofErr w:type="spellEnd"/>
      <w:r w:rsidRPr="001571D9">
        <w:rPr>
          <w:rFonts w:ascii="Book Antiqua" w:hAnsi="Book Antiqua"/>
          <w:i/>
          <w:szCs w:val="24"/>
        </w:rPr>
        <w:t xml:space="preserve"> </w:t>
      </w:r>
      <w:proofErr w:type="spellStart"/>
      <w:r w:rsidRPr="001571D9">
        <w:rPr>
          <w:rFonts w:ascii="Book Antiqua" w:hAnsi="Book Antiqua"/>
          <w:i/>
          <w:szCs w:val="24"/>
        </w:rPr>
        <w:t>judiciaire</w:t>
      </w:r>
      <w:proofErr w:type="spellEnd"/>
      <w:r w:rsidRPr="001571D9">
        <w:rPr>
          <w:rFonts w:ascii="Book Antiqua" w:hAnsi="Book Antiqua"/>
          <w:i/>
          <w:szCs w:val="24"/>
        </w:rPr>
        <w:t xml:space="preserve"> des </w:t>
      </w:r>
      <w:proofErr w:type="spellStart"/>
      <w:r w:rsidRPr="001571D9">
        <w:rPr>
          <w:rFonts w:ascii="Book Antiqua" w:hAnsi="Book Antiqua"/>
          <w:i/>
          <w:szCs w:val="24"/>
        </w:rPr>
        <w:t>romains</w:t>
      </w:r>
      <w:proofErr w:type="spellEnd"/>
      <w:r w:rsidRPr="001571D9">
        <w:rPr>
          <w:rFonts w:ascii="Book Antiqua" w:hAnsi="Book Antiqua"/>
          <w:i/>
          <w:szCs w:val="24"/>
        </w:rPr>
        <w:t>,</w:t>
      </w:r>
      <w:r w:rsidRPr="001571D9">
        <w:rPr>
          <w:rFonts w:ascii="Book Antiqua" w:hAnsi="Book Antiqua"/>
          <w:szCs w:val="24"/>
        </w:rPr>
        <w:t xml:space="preserve"> París, 1901; DE MARTINO, F., </w:t>
      </w:r>
      <w:proofErr w:type="spellStart"/>
      <w:r w:rsidRPr="001571D9">
        <w:rPr>
          <w:rFonts w:ascii="Book Antiqua" w:hAnsi="Book Antiqua"/>
          <w:i/>
          <w:szCs w:val="24"/>
        </w:rPr>
        <w:t>Storia</w:t>
      </w:r>
      <w:proofErr w:type="spellEnd"/>
      <w:r w:rsidRPr="001571D9">
        <w:rPr>
          <w:rFonts w:ascii="Book Antiqua" w:hAnsi="Book Antiqua"/>
          <w:i/>
          <w:szCs w:val="24"/>
        </w:rPr>
        <w:t xml:space="preserve"> </w:t>
      </w:r>
      <w:proofErr w:type="spellStart"/>
      <w:r w:rsidRPr="001571D9">
        <w:rPr>
          <w:rFonts w:ascii="Book Antiqua" w:hAnsi="Book Antiqua"/>
          <w:i/>
          <w:szCs w:val="24"/>
        </w:rPr>
        <w:t>della</w:t>
      </w:r>
      <w:proofErr w:type="spellEnd"/>
      <w:r w:rsidRPr="001571D9">
        <w:rPr>
          <w:rFonts w:ascii="Book Antiqua" w:hAnsi="Book Antiqua"/>
          <w:i/>
          <w:szCs w:val="24"/>
        </w:rPr>
        <w:t xml:space="preserve"> </w:t>
      </w:r>
      <w:proofErr w:type="spellStart"/>
      <w:r w:rsidRPr="001571D9">
        <w:rPr>
          <w:rFonts w:ascii="Book Antiqua" w:hAnsi="Book Antiqua"/>
          <w:i/>
          <w:szCs w:val="24"/>
        </w:rPr>
        <w:t>constituzione</w:t>
      </w:r>
      <w:proofErr w:type="spellEnd"/>
      <w:r w:rsidRPr="001571D9">
        <w:rPr>
          <w:rFonts w:ascii="Book Antiqua" w:hAnsi="Book Antiqua"/>
          <w:i/>
          <w:szCs w:val="24"/>
        </w:rPr>
        <w:t xml:space="preserve"> romana</w:t>
      </w:r>
      <w:r w:rsidRPr="001571D9">
        <w:rPr>
          <w:rFonts w:ascii="Book Antiqua" w:hAnsi="Book Antiqua"/>
          <w:szCs w:val="24"/>
        </w:rPr>
        <w:t xml:space="preserve">, Nápoles, 1966; FERNÁNDEZ DE BUJÁN, A., </w:t>
      </w:r>
      <w:r w:rsidRPr="001571D9">
        <w:rPr>
          <w:rFonts w:ascii="Book Antiqua" w:hAnsi="Book Antiqua"/>
          <w:i/>
          <w:szCs w:val="24"/>
        </w:rPr>
        <w:t>La jurisdicción voluntaria en Derecho Romano</w:t>
      </w:r>
      <w:r>
        <w:rPr>
          <w:rFonts w:ascii="Book Antiqua" w:hAnsi="Book Antiqua"/>
          <w:szCs w:val="24"/>
        </w:rPr>
        <w:t xml:space="preserve">, Madrid, 1986; </w:t>
      </w:r>
      <w:proofErr w:type="spellStart"/>
      <w:r w:rsidRPr="001571D9">
        <w:rPr>
          <w:rFonts w:ascii="Book Antiqua" w:hAnsi="Book Antiqua"/>
          <w:szCs w:val="24"/>
        </w:rPr>
        <w:t>KASSER</w:t>
      </w:r>
      <w:proofErr w:type="spellEnd"/>
      <w:r w:rsidRPr="001571D9">
        <w:rPr>
          <w:rFonts w:ascii="Book Antiqua" w:hAnsi="Book Antiqua"/>
          <w:szCs w:val="24"/>
        </w:rPr>
        <w:t>, M.</w:t>
      </w:r>
      <w:r w:rsidRPr="001571D9">
        <w:rPr>
          <w:rFonts w:ascii="Book Antiqua" w:hAnsi="Book Antiqua"/>
          <w:i/>
          <w:szCs w:val="24"/>
        </w:rPr>
        <w:t xml:space="preserve">, Das </w:t>
      </w:r>
      <w:proofErr w:type="spellStart"/>
      <w:r w:rsidRPr="001571D9">
        <w:rPr>
          <w:rFonts w:ascii="Book Antiqua" w:hAnsi="Book Antiqua"/>
          <w:i/>
          <w:szCs w:val="24"/>
        </w:rPr>
        <w:t>römische</w:t>
      </w:r>
      <w:proofErr w:type="spellEnd"/>
      <w:r w:rsidRPr="001571D9">
        <w:rPr>
          <w:rFonts w:ascii="Book Antiqua" w:hAnsi="Book Antiqua"/>
          <w:i/>
          <w:szCs w:val="24"/>
        </w:rPr>
        <w:t xml:space="preserve"> </w:t>
      </w:r>
      <w:proofErr w:type="spellStart"/>
      <w:r w:rsidRPr="001571D9">
        <w:rPr>
          <w:rFonts w:ascii="Book Antiqua" w:hAnsi="Book Antiqua"/>
          <w:i/>
          <w:szCs w:val="24"/>
        </w:rPr>
        <w:t>Zivilprozessrecht</w:t>
      </w:r>
      <w:proofErr w:type="spellEnd"/>
      <w:r w:rsidRPr="001571D9">
        <w:rPr>
          <w:rFonts w:ascii="Book Antiqua" w:hAnsi="Book Antiqua"/>
          <w:szCs w:val="24"/>
        </w:rPr>
        <w:t xml:space="preserve">, </w:t>
      </w:r>
      <w:proofErr w:type="spellStart"/>
      <w:r w:rsidRPr="001571D9">
        <w:rPr>
          <w:rFonts w:ascii="Book Antiqua" w:hAnsi="Book Antiqua"/>
          <w:szCs w:val="24"/>
        </w:rPr>
        <w:t>Munich</w:t>
      </w:r>
      <w:proofErr w:type="spellEnd"/>
      <w:r w:rsidRPr="001571D9">
        <w:rPr>
          <w:rFonts w:ascii="Book Antiqua" w:hAnsi="Book Antiqua"/>
          <w:szCs w:val="24"/>
        </w:rPr>
        <w:t>, 1966 (</w:t>
      </w:r>
      <w:proofErr w:type="spellStart"/>
      <w:r w:rsidRPr="001571D9">
        <w:rPr>
          <w:rFonts w:ascii="Book Antiqua" w:hAnsi="Book Antiqua"/>
          <w:szCs w:val="24"/>
        </w:rPr>
        <w:t>reed</w:t>
      </w:r>
      <w:proofErr w:type="spellEnd"/>
      <w:r w:rsidRPr="001571D9">
        <w:rPr>
          <w:rFonts w:ascii="Book Antiqua" w:hAnsi="Book Antiqua"/>
          <w:szCs w:val="24"/>
        </w:rPr>
        <w:t>. 1996)</w:t>
      </w:r>
      <w:r>
        <w:rPr>
          <w:rFonts w:ascii="Book Antiqua" w:hAnsi="Book Antiqua"/>
          <w:szCs w:val="24"/>
        </w:rPr>
        <w:t>;</w:t>
      </w:r>
      <w:r w:rsidRPr="001571D9">
        <w:rPr>
          <w:rFonts w:ascii="Book Antiqua" w:hAnsi="Book Antiqua"/>
          <w:szCs w:val="24"/>
        </w:rPr>
        <w:t xml:space="preserve"> PUGLIESE, G., </w:t>
      </w:r>
      <w:proofErr w:type="spellStart"/>
      <w:r w:rsidRPr="001571D9">
        <w:rPr>
          <w:rFonts w:ascii="Book Antiqua" w:hAnsi="Book Antiqua"/>
          <w:i/>
          <w:szCs w:val="24"/>
        </w:rPr>
        <w:t>Il</w:t>
      </w:r>
      <w:proofErr w:type="spellEnd"/>
      <w:r w:rsidRPr="001571D9">
        <w:rPr>
          <w:rFonts w:ascii="Book Antiqua" w:hAnsi="Book Antiqua"/>
          <w:i/>
          <w:szCs w:val="24"/>
        </w:rPr>
        <w:t xml:space="preserve"> proceso </w:t>
      </w:r>
      <w:proofErr w:type="spellStart"/>
      <w:r w:rsidRPr="001571D9">
        <w:rPr>
          <w:rFonts w:ascii="Book Antiqua" w:hAnsi="Book Antiqua"/>
          <w:i/>
          <w:szCs w:val="24"/>
        </w:rPr>
        <w:t>civile</w:t>
      </w:r>
      <w:proofErr w:type="spellEnd"/>
      <w:r w:rsidRPr="001571D9">
        <w:rPr>
          <w:rFonts w:ascii="Book Antiqua" w:hAnsi="Book Antiqua"/>
          <w:i/>
          <w:szCs w:val="24"/>
        </w:rPr>
        <w:t xml:space="preserve"> romano</w:t>
      </w:r>
      <w:r w:rsidRPr="001571D9">
        <w:rPr>
          <w:rFonts w:ascii="Book Antiqua" w:hAnsi="Book Antiqua"/>
          <w:szCs w:val="24"/>
        </w:rPr>
        <w:t xml:space="preserve">, Milán, 1961; </w:t>
      </w:r>
      <w:proofErr w:type="spellStart"/>
      <w:r w:rsidRPr="001571D9">
        <w:rPr>
          <w:rFonts w:ascii="Book Antiqua" w:hAnsi="Book Antiqua"/>
          <w:szCs w:val="24"/>
        </w:rPr>
        <w:t>LUZZATO</w:t>
      </w:r>
      <w:proofErr w:type="spellEnd"/>
      <w:r w:rsidRPr="001571D9">
        <w:rPr>
          <w:rFonts w:ascii="Book Antiqua" w:hAnsi="Book Antiqua"/>
          <w:szCs w:val="24"/>
        </w:rPr>
        <w:t xml:space="preserve">, G. I., </w:t>
      </w:r>
      <w:proofErr w:type="spellStart"/>
      <w:r w:rsidRPr="001571D9">
        <w:rPr>
          <w:rFonts w:ascii="Book Antiqua" w:hAnsi="Book Antiqua"/>
          <w:i/>
          <w:szCs w:val="24"/>
        </w:rPr>
        <w:t>Procedura</w:t>
      </w:r>
      <w:proofErr w:type="spellEnd"/>
      <w:r w:rsidRPr="001571D9">
        <w:rPr>
          <w:rFonts w:ascii="Book Antiqua" w:hAnsi="Book Antiqua"/>
          <w:i/>
          <w:szCs w:val="24"/>
        </w:rPr>
        <w:t xml:space="preserve"> </w:t>
      </w:r>
      <w:proofErr w:type="spellStart"/>
      <w:r w:rsidRPr="001571D9">
        <w:rPr>
          <w:rFonts w:ascii="Book Antiqua" w:hAnsi="Book Antiqua"/>
          <w:i/>
          <w:szCs w:val="24"/>
        </w:rPr>
        <w:t>civile</w:t>
      </w:r>
      <w:proofErr w:type="spellEnd"/>
      <w:r w:rsidRPr="001571D9">
        <w:rPr>
          <w:rFonts w:ascii="Book Antiqua" w:hAnsi="Book Antiqua"/>
          <w:i/>
          <w:szCs w:val="24"/>
        </w:rPr>
        <w:t xml:space="preserve"> </w:t>
      </w:r>
      <w:proofErr w:type="spellStart"/>
      <w:proofErr w:type="gramStart"/>
      <w:r w:rsidRPr="001571D9">
        <w:rPr>
          <w:rFonts w:ascii="Book Antiqua" w:hAnsi="Book Antiqua"/>
          <w:i/>
          <w:szCs w:val="24"/>
        </w:rPr>
        <w:t>romana,II</w:t>
      </w:r>
      <w:proofErr w:type="spellEnd"/>
      <w:r w:rsidRPr="001571D9">
        <w:rPr>
          <w:rFonts w:ascii="Book Antiqua" w:hAnsi="Book Antiqua"/>
          <w:i/>
          <w:szCs w:val="24"/>
        </w:rPr>
        <w:t>.</w:t>
      </w:r>
      <w:proofErr w:type="gramEnd"/>
      <w:r w:rsidRPr="001571D9">
        <w:rPr>
          <w:rFonts w:ascii="Book Antiqua" w:hAnsi="Book Antiqua"/>
          <w:i/>
          <w:szCs w:val="24"/>
        </w:rPr>
        <w:t xml:space="preserve"> Les </w:t>
      </w:r>
      <w:proofErr w:type="spellStart"/>
      <w:r w:rsidRPr="001571D9">
        <w:rPr>
          <w:rFonts w:ascii="Book Antiqua" w:hAnsi="Book Antiqua"/>
          <w:i/>
          <w:szCs w:val="24"/>
        </w:rPr>
        <w:t>legis</w:t>
      </w:r>
      <w:proofErr w:type="spellEnd"/>
      <w:r w:rsidRPr="001571D9">
        <w:rPr>
          <w:rFonts w:ascii="Book Antiqua" w:hAnsi="Book Antiqua"/>
          <w:i/>
          <w:szCs w:val="24"/>
        </w:rPr>
        <w:t xml:space="preserve"> </w:t>
      </w:r>
      <w:proofErr w:type="spellStart"/>
      <w:r w:rsidRPr="001571D9">
        <w:rPr>
          <w:rFonts w:ascii="Book Antiqua" w:hAnsi="Book Antiqua"/>
          <w:i/>
          <w:szCs w:val="24"/>
        </w:rPr>
        <w:t>actiones</w:t>
      </w:r>
      <w:proofErr w:type="spellEnd"/>
      <w:r w:rsidRPr="001571D9">
        <w:rPr>
          <w:rFonts w:ascii="Book Antiqua" w:hAnsi="Book Antiqua"/>
          <w:szCs w:val="24"/>
        </w:rPr>
        <w:t xml:space="preserve">, Bolonia, 1947; </w:t>
      </w:r>
      <w:proofErr w:type="spellStart"/>
      <w:r w:rsidRPr="001571D9">
        <w:rPr>
          <w:rFonts w:ascii="Book Antiqua" w:hAnsi="Book Antiqua"/>
          <w:szCs w:val="24"/>
        </w:rPr>
        <w:t>MASSOL</w:t>
      </w:r>
      <w:proofErr w:type="spellEnd"/>
      <w:r w:rsidRPr="001571D9">
        <w:rPr>
          <w:rFonts w:ascii="Book Antiqua" w:hAnsi="Book Antiqua"/>
          <w:szCs w:val="24"/>
        </w:rPr>
        <w:t>, H</w:t>
      </w:r>
      <w:r>
        <w:rPr>
          <w:rFonts w:ascii="Book Antiqua" w:hAnsi="Book Antiqua"/>
          <w:szCs w:val="24"/>
        </w:rPr>
        <w:t>.</w:t>
      </w:r>
      <w:r w:rsidRPr="001571D9">
        <w:rPr>
          <w:rFonts w:ascii="Book Antiqua" w:hAnsi="Book Antiqua"/>
          <w:szCs w:val="24"/>
        </w:rPr>
        <w:t xml:space="preserve">, </w:t>
      </w:r>
      <w:r w:rsidRPr="001571D9">
        <w:rPr>
          <w:rFonts w:ascii="Book Antiqua" w:hAnsi="Book Antiqua"/>
          <w:i/>
          <w:szCs w:val="24"/>
        </w:rPr>
        <w:t xml:space="preserve">Du </w:t>
      </w:r>
      <w:proofErr w:type="spellStart"/>
      <w:r w:rsidRPr="001571D9">
        <w:rPr>
          <w:rFonts w:ascii="Book Antiqua" w:hAnsi="Book Antiqua"/>
          <w:i/>
          <w:szCs w:val="24"/>
        </w:rPr>
        <w:t>lieu</w:t>
      </w:r>
      <w:proofErr w:type="spellEnd"/>
      <w:r w:rsidRPr="001571D9">
        <w:rPr>
          <w:rFonts w:ascii="Book Antiqua" w:hAnsi="Book Antiqua"/>
          <w:i/>
          <w:szCs w:val="24"/>
        </w:rPr>
        <w:t xml:space="preserve"> du </w:t>
      </w:r>
      <w:proofErr w:type="spellStart"/>
      <w:r w:rsidRPr="001571D9">
        <w:rPr>
          <w:rFonts w:ascii="Book Antiqua" w:hAnsi="Book Antiqua"/>
          <w:i/>
          <w:szCs w:val="24"/>
        </w:rPr>
        <w:t>paiemen</w:t>
      </w:r>
      <w:proofErr w:type="spellEnd"/>
      <w:r w:rsidRPr="001571D9">
        <w:rPr>
          <w:rFonts w:ascii="Book Antiqua" w:hAnsi="Book Antiqua"/>
          <w:i/>
          <w:szCs w:val="24"/>
        </w:rPr>
        <w:t xml:space="preserve"> et du </w:t>
      </w:r>
      <w:proofErr w:type="spellStart"/>
      <w:r w:rsidRPr="001571D9">
        <w:rPr>
          <w:rFonts w:ascii="Book Antiqua" w:hAnsi="Book Antiqua"/>
          <w:i/>
          <w:szCs w:val="24"/>
        </w:rPr>
        <w:t>lieu</w:t>
      </w:r>
      <w:proofErr w:type="spellEnd"/>
      <w:r w:rsidRPr="001571D9">
        <w:rPr>
          <w:rFonts w:ascii="Book Antiqua" w:hAnsi="Book Antiqua"/>
          <w:i/>
          <w:szCs w:val="24"/>
        </w:rPr>
        <w:t xml:space="preserve"> de la </w:t>
      </w:r>
      <w:proofErr w:type="spellStart"/>
      <w:r w:rsidRPr="001571D9">
        <w:rPr>
          <w:rFonts w:ascii="Book Antiqua" w:hAnsi="Book Antiqua"/>
          <w:i/>
          <w:szCs w:val="24"/>
        </w:rPr>
        <w:t>competence</w:t>
      </w:r>
      <w:proofErr w:type="spellEnd"/>
      <w:r w:rsidRPr="001571D9">
        <w:rPr>
          <w:rFonts w:ascii="Book Antiqua" w:hAnsi="Book Antiqua"/>
          <w:i/>
          <w:szCs w:val="24"/>
        </w:rPr>
        <w:t xml:space="preserve"> </w:t>
      </w:r>
      <w:proofErr w:type="spellStart"/>
      <w:r w:rsidRPr="001571D9">
        <w:rPr>
          <w:rFonts w:ascii="Book Antiqua" w:hAnsi="Book Antiqua"/>
          <w:i/>
          <w:szCs w:val="24"/>
        </w:rPr>
        <w:t>dans</w:t>
      </w:r>
      <w:proofErr w:type="spellEnd"/>
      <w:r w:rsidRPr="001571D9">
        <w:rPr>
          <w:rFonts w:ascii="Book Antiqua" w:hAnsi="Book Antiqua"/>
          <w:i/>
          <w:szCs w:val="24"/>
        </w:rPr>
        <w:t xml:space="preserve"> les cas </w:t>
      </w:r>
      <w:proofErr w:type="spellStart"/>
      <w:r w:rsidRPr="001571D9">
        <w:rPr>
          <w:rFonts w:ascii="Book Antiqua" w:hAnsi="Book Antiqua"/>
          <w:i/>
          <w:szCs w:val="24"/>
        </w:rPr>
        <w:t>deu</w:t>
      </w:r>
      <w:proofErr w:type="spellEnd"/>
      <w:r w:rsidRPr="001571D9">
        <w:rPr>
          <w:rFonts w:ascii="Book Antiqua" w:hAnsi="Book Antiqua"/>
          <w:i/>
          <w:szCs w:val="24"/>
        </w:rPr>
        <w:t xml:space="preserve"> </w:t>
      </w:r>
      <w:proofErr w:type="spellStart"/>
      <w:r w:rsidRPr="001571D9">
        <w:rPr>
          <w:rFonts w:ascii="Book Antiqua" w:hAnsi="Book Antiqua"/>
          <w:i/>
          <w:szCs w:val="24"/>
        </w:rPr>
        <w:t>paiement</w:t>
      </w:r>
      <w:proofErr w:type="spellEnd"/>
      <w:r w:rsidRPr="001571D9">
        <w:rPr>
          <w:rFonts w:ascii="Book Antiqua" w:hAnsi="Book Antiqua"/>
          <w:i/>
          <w:szCs w:val="24"/>
        </w:rPr>
        <w:t xml:space="preserve"> en </w:t>
      </w:r>
      <w:proofErr w:type="spellStart"/>
      <w:r w:rsidRPr="001571D9">
        <w:rPr>
          <w:rFonts w:ascii="Book Antiqua" w:hAnsi="Book Antiqua"/>
          <w:i/>
          <w:szCs w:val="24"/>
        </w:rPr>
        <w:t>droit</w:t>
      </w:r>
      <w:proofErr w:type="spellEnd"/>
      <w:r w:rsidRPr="001571D9">
        <w:rPr>
          <w:rFonts w:ascii="Book Antiqua" w:hAnsi="Book Antiqua"/>
          <w:i/>
          <w:szCs w:val="24"/>
        </w:rPr>
        <w:t xml:space="preserve"> </w:t>
      </w:r>
      <w:proofErr w:type="spellStart"/>
      <w:r w:rsidRPr="001571D9">
        <w:rPr>
          <w:rFonts w:ascii="Book Antiqua" w:hAnsi="Book Antiqua"/>
          <w:i/>
          <w:szCs w:val="24"/>
        </w:rPr>
        <w:t>romain</w:t>
      </w:r>
      <w:proofErr w:type="spellEnd"/>
      <w:r w:rsidRPr="001571D9">
        <w:rPr>
          <w:rFonts w:ascii="Book Antiqua" w:hAnsi="Book Antiqua"/>
          <w:i/>
          <w:szCs w:val="24"/>
        </w:rPr>
        <w:t xml:space="preserve"> et </w:t>
      </w:r>
      <w:proofErr w:type="spellStart"/>
      <w:r w:rsidRPr="001571D9">
        <w:rPr>
          <w:rFonts w:ascii="Book Antiqua" w:hAnsi="Book Antiqua"/>
          <w:i/>
          <w:szCs w:val="24"/>
        </w:rPr>
        <w:t>droit</w:t>
      </w:r>
      <w:proofErr w:type="spellEnd"/>
      <w:r w:rsidRPr="001571D9">
        <w:rPr>
          <w:rFonts w:ascii="Book Antiqua" w:hAnsi="Book Antiqua"/>
          <w:i/>
          <w:szCs w:val="24"/>
        </w:rPr>
        <w:t xml:space="preserve"> </w:t>
      </w:r>
      <w:proofErr w:type="spellStart"/>
      <w:r w:rsidRPr="001571D9">
        <w:rPr>
          <w:rFonts w:ascii="Book Antiqua" w:hAnsi="Book Antiqua"/>
          <w:i/>
          <w:szCs w:val="24"/>
        </w:rPr>
        <w:t>francaise</w:t>
      </w:r>
      <w:proofErr w:type="spellEnd"/>
      <w:r w:rsidRPr="001571D9">
        <w:rPr>
          <w:rFonts w:ascii="Book Antiqua" w:hAnsi="Book Antiqua"/>
          <w:szCs w:val="24"/>
        </w:rPr>
        <w:t>, París, 1882</w:t>
      </w:r>
      <w:r>
        <w:rPr>
          <w:rFonts w:ascii="Book Antiqua" w:hAnsi="Book Antiqua"/>
          <w:szCs w:val="24"/>
        </w:rPr>
        <w:t>;</w:t>
      </w:r>
      <w:r w:rsidRPr="001571D9">
        <w:rPr>
          <w:rFonts w:ascii="Book Antiqua" w:hAnsi="Book Antiqua"/>
          <w:szCs w:val="24"/>
        </w:rPr>
        <w:t xml:space="preserve"> </w:t>
      </w:r>
      <w:r w:rsidRPr="00D14817">
        <w:rPr>
          <w:rFonts w:ascii="Book Antiqua" w:hAnsi="Book Antiqua"/>
          <w:szCs w:val="24"/>
        </w:rPr>
        <w:t xml:space="preserve">MOMMSEN, TH., </w:t>
      </w:r>
      <w:r w:rsidRPr="00D14817">
        <w:rPr>
          <w:rFonts w:ascii="Book Antiqua" w:hAnsi="Book Antiqua"/>
          <w:i/>
          <w:szCs w:val="24"/>
        </w:rPr>
        <w:t xml:space="preserve">Le </w:t>
      </w:r>
      <w:proofErr w:type="spellStart"/>
      <w:r w:rsidRPr="00D14817">
        <w:rPr>
          <w:rFonts w:ascii="Book Antiqua" w:hAnsi="Book Antiqua"/>
          <w:i/>
          <w:szCs w:val="24"/>
        </w:rPr>
        <w:t>droit</w:t>
      </w:r>
      <w:proofErr w:type="spellEnd"/>
      <w:r w:rsidRPr="00D14817">
        <w:rPr>
          <w:rFonts w:ascii="Book Antiqua" w:hAnsi="Book Antiqua"/>
          <w:i/>
          <w:szCs w:val="24"/>
        </w:rPr>
        <w:t xml:space="preserve"> </w:t>
      </w:r>
      <w:proofErr w:type="spellStart"/>
      <w:r w:rsidRPr="00D14817">
        <w:rPr>
          <w:rFonts w:ascii="Book Antiqua" w:hAnsi="Book Antiqua"/>
          <w:i/>
          <w:szCs w:val="24"/>
        </w:rPr>
        <w:t>public</w:t>
      </w:r>
      <w:proofErr w:type="spellEnd"/>
      <w:r w:rsidRPr="00D14817">
        <w:rPr>
          <w:rFonts w:ascii="Book Antiqua" w:hAnsi="Book Antiqua"/>
          <w:i/>
          <w:szCs w:val="24"/>
        </w:rPr>
        <w:t xml:space="preserve"> </w:t>
      </w:r>
      <w:proofErr w:type="spellStart"/>
      <w:r w:rsidRPr="00D14817">
        <w:rPr>
          <w:rFonts w:ascii="Book Antiqua" w:hAnsi="Book Antiqua"/>
          <w:i/>
          <w:szCs w:val="24"/>
        </w:rPr>
        <w:t>romain</w:t>
      </w:r>
      <w:proofErr w:type="spellEnd"/>
      <w:r w:rsidRPr="00D14817">
        <w:rPr>
          <w:rFonts w:ascii="Book Antiqua" w:hAnsi="Book Antiqua"/>
          <w:i/>
          <w:szCs w:val="24"/>
        </w:rPr>
        <w:t xml:space="preserve">, </w:t>
      </w:r>
      <w:r w:rsidRPr="00D14817">
        <w:rPr>
          <w:rFonts w:ascii="Book Antiqua" w:hAnsi="Book Antiqua"/>
          <w:szCs w:val="24"/>
        </w:rPr>
        <w:t>(trad. Paul Frédéric Girard), París, 1887 (</w:t>
      </w:r>
      <w:proofErr w:type="spellStart"/>
      <w:r w:rsidRPr="00D14817">
        <w:rPr>
          <w:rFonts w:ascii="Book Antiqua" w:hAnsi="Book Antiqua"/>
          <w:szCs w:val="24"/>
        </w:rPr>
        <w:t>reimp</w:t>
      </w:r>
      <w:proofErr w:type="spellEnd"/>
      <w:r w:rsidRPr="00D14817">
        <w:rPr>
          <w:rFonts w:ascii="Book Antiqua" w:hAnsi="Book Antiqua"/>
          <w:szCs w:val="24"/>
        </w:rPr>
        <w:t xml:space="preserve">. </w:t>
      </w:r>
      <w:r>
        <w:rPr>
          <w:rFonts w:ascii="Book Antiqua" w:hAnsi="Book Antiqua"/>
          <w:szCs w:val="24"/>
        </w:rPr>
        <w:t>1984);</w:t>
      </w:r>
      <w:r w:rsidRPr="001571D9">
        <w:rPr>
          <w:rFonts w:ascii="Book Antiqua" w:hAnsi="Book Antiqua"/>
          <w:szCs w:val="24"/>
        </w:rPr>
        <w:t xml:space="preserve"> D</w:t>
      </w:r>
      <w:r>
        <w:rPr>
          <w:rFonts w:ascii="Book Antiqua" w:hAnsi="Book Antiqua"/>
          <w:szCs w:val="24"/>
        </w:rPr>
        <w:t>E</w:t>
      </w:r>
      <w:r w:rsidRPr="001571D9">
        <w:rPr>
          <w:rFonts w:ascii="Book Antiqua" w:hAnsi="Book Antiqua"/>
          <w:szCs w:val="24"/>
        </w:rPr>
        <w:t xml:space="preserve"> </w:t>
      </w:r>
      <w:proofErr w:type="spellStart"/>
      <w:r w:rsidRPr="001571D9">
        <w:rPr>
          <w:rFonts w:ascii="Book Antiqua" w:hAnsi="Book Antiqua"/>
          <w:szCs w:val="24"/>
        </w:rPr>
        <w:t>ROBERTIS</w:t>
      </w:r>
      <w:proofErr w:type="spellEnd"/>
      <w:r w:rsidRPr="001571D9">
        <w:rPr>
          <w:rFonts w:ascii="Book Antiqua" w:hAnsi="Book Antiqua"/>
          <w:szCs w:val="24"/>
        </w:rPr>
        <w:t xml:space="preserve">, </w:t>
      </w:r>
      <w:proofErr w:type="spellStart"/>
      <w:r w:rsidRPr="001571D9">
        <w:rPr>
          <w:rFonts w:ascii="Book Antiqua" w:hAnsi="Book Antiqua"/>
          <w:szCs w:val="24"/>
        </w:rPr>
        <w:t>F.M</w:t>
      </w:r>
      <w:proofErr w:type="spellEnd"/>
      <w:r w:rsidRPr="001571D9">
        <w:rPr>
          <w:rFonts w:ascii="Book Antiqua" w:hAnsi="Book Antiqua"/>
          <w:i/>
          <w:szCs w:val="24"/>
        </w:rPr>
        <w:t xml:space="preserve">., La disciplina </w:t>
      </w:r>
      <w:proofErr w:type="spellStart"/>
      <w:r w:rsidRPr="001571D9">
        <w:rPr>
          <w:rFonts w:ascii="Book Antiqua" w:hAnsi="Book Antiqua"/>
          <w:i/>
          <w:szCs w:val="24"/>
        </w:rPr>
        <w:t>della</w:t>
      </w:r>
      <w:proofErr w:type="spellEnd"/>
      <w:r w:rsidRPr="001571D9">
        <w:rPr>
          <w:rFonts w:ascii="Book Antiqua" w:hAnsi="Book Antiqua"/>
          <w:i/>
          <w:szCs w:val="24"/>
        </w:rPr>
        <w:t xml:space="preserve"> </w:t>
      </w:r>
      <w:proofErr w:type="spellStart"/>
      <w:r w:rsidRPr="001571D9">
        <w:rPr>
          <w:rFonts w:ascii="Book Antiqua" w:hAnsi="Book Antiqua"/>
          <w:i/>
          <w:szCs w:val="24"/>
        </w:rPr>
        <w:t>responsabilitá</w:t>
      </w:r>
      <w:proofErr w:type="spellEnd"/>
      <w:r w:rsidRPr="001571D9">
        <w:rPr>
          <w:rFonts w:ascii="Book Antiqua" w:hAnsi="Book Antiqua"/>
          <w:i/>
          <w:szCs w:val="24"/>
        </w:rPr>
        <w:t xml:space="preserve"> nel sistema </w:t>
      </w:r>
      <w:proofErr w:type="spellStart"/>
      <w:r w:rsidRPr="001571D9">
        <w:rPr>
          <w:rFonts w:ascii="Book Antiqua" w:hAnsi="Book Antiqua"/>
          <w:i/>
          <w:szCs w:val="24"/>
        </w:rPr>
        <w:t>della</w:t>
      </w:r>
      <w:proofErr w:type="spellEnd"/>
      <w:r w:rsidRPr="001571D9">
        <w:rPr>
          <w:rFonts w:ascii="Book Antiqua" w:hAnsi="Book Antiqua"/>
          <w:i/>
          <w:szCs w:val="24"/>
        </w:rPr>
        <w:t xml:space="preserve"> </w:t>
      </w:r>
      <w:proofErr w:type="spellStart"/>
      <w:r w:rsidRPr="001571D9">
        <w:rPr>
          <w:rFonts w:ascii="Book Antiqua" w:hAnsi="Book Antiqua"/>
          <w:i/>
          <w:szCs w:val="24"/>
        </w:rPr>
        <w:t>Compilazione</w:t>
      </w:r>
      <w:proofErr w:type="spellEnd"/>
      <w:r w:rsidRPr="001571D9">
        <w:rPr>
          <w:rFonts w:ascii="Book Antiqua" w:hAnsi="Book Antiqua"/>
          <w:i/>
          <w:szCs w:val="24"/>
        </w:rPr>
        <w:t xml:space="preserve"> </w:t>
      </w:r>
      <w:proofErr w:type="spellStart"/>
      <w:r w:rsidRPr="001571D9">
        <w:rPr>
          <w:rFonts w:ascii="Book Antiqua" w:hAnsi="Book Antiqua"/>
          <w:i/>
          <w:szCs w:val="24"/>
        </w:rPr>
        <w:t>Giustinianea</w:t>
      </w:r>
      <w:proofErr w:type="spellEnd"/>
      <w:r>
        <w:rPr>
          <w:rFonts w:ascii="Book Antiqua" w:hAnsi="Book Antiqua"/>
          <w:szCs w:val="24"/>
        </w:rPr>
        <w:t xml:space="preserve">, </w:t>
      </w:r>
      <w:r w:rsidRPr="001571D9">
        <w:rPr>
          <w:rFonts w:ascii="Book Antiqua" w:hAnsi="Book Antiqua"/>
          <w:szCs w:val="24"/>
        </w:rPr>
        <w:t>Bari,</w:t>
      </w:r>
      <w:r>
        <w:rPr>
          <w:rFonts w:ascii="Book Antiqua" w:hAnsi="Book Antiqua"/>
          <w:szCs w:val="24"/>
        </w:rPr>
        <w:t xml:space="preserve"> </w:t>
      </w:r>
      <w:r w:rsidRPr="001571D9">
        <w:rPr>
          <w:rFonts w:ascii="Book Antiqua" w:hAnsi="Book Antiqua"/>
          <w:szCs w:val="24"/>
        </w:rPr>
        <w:t xml:space="preserve">1964; TORRENT, A., </w:t>
      </w:r>
      <w:r w:rsidRPr="001571D9">
        <w:rPr>
          <w:rFonts w:ascii="Book Antiqua" w:hAnsi="Book Antiqua"/>
          <w:i/>
          <w:szCs w:val="24"/>
        </w:rPr>
        <w:t xml:space="preserve">La </w:t>
      </w:r>
      <w:proofErr w:type="spellStart"/>
      <w:r w:rsidRPr="001571D9">
        <w:rPr>
          <w:rFonts w:ascii="Book Antiqua" w:hAnsi="Book Antiqua"/>
          <w:i/>
          <w:szCs w:val="24"/>
        </w:rPr>
        <w:t>iurisdictio</w:t>
      </w:r>
      <w:proofErr w:type="spellEnd"/>
      <w:r w:rsidRPr="001571D9">
        <w:rPr>
          <w:rFonts w:ascii="Book Antiqua" w:hAnsi="Book Antiqua"/>
          <w:i/>
          <w:szCs w:val="24"/>
        </w:rPr>
        <w:t xml:space="preserve"> de los magistrados municipales</w:t>
      </w:r>
      <w:r w:rsidRPr="001571D9">
        <w:rPr>
          <w:rFonts w:ascii="Book Antiqua" w:hAnsi="Book Antiqua"/>
          <w:szCs w:val="24"/>
        </w:rPr>
        <w:t xml:space="preserve">, Salamanca, 1970; ROBLES REYES, J. R., </w:t>
      </w:r>
      <w:r w:rsidRPr="001571D9">
        <w:rPr>
          <w:rFonts w:ascii="Book Antiqua" w:hAnsi="Book Antiqua"/>
          <w:i/>
          <w:szCs w:val="24"/>
        </w:rPr>
        <w:t>La competencia jurisdiccional y judicial en Roma</w:t>
      </w:r>
      <w:r w:rsidRPr="001571D9">
        <w:rPr>
          <w:rFonts w:ascii="Book Antiqua" w:hAnsi="Book Antiqua"/>
          <w:szCs w:val="24"/>
        </w:rPr>
        <w:t>, Murcia, 2003.</w:t>
      </w:r>
    </w:p>
  </w:footnote>
  <w:footnote w:id="17">
    <w:p w14:paraId="5B8116E4"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La existencia de diversas situaciones sociales, </w:t>
      </w:r>
      <w:proofErr w:type="gramStart"/>
      <w:r w:rsidRPr="001571D9">
        <w:rPr>
          <w:rFonts w:ascii="Book Antiqua" w:hAnsi="Book Antiqua"/>
          <w:i/>
          <w:szCs w:val="24"/>
        </w:rPr>
        <w:t>status</w:t>
      </w:r>
      <w:proofErr w:type="gramEnd"/>
      <w:r w:rsidRPr="001571D9">
        <w:rPr>
          <w:rFonts w:ascii="Book Antiqua" w:hAnsi="Book Antiqua"/>
          <w:i/>
          <w:szCs w:val="24"/>
        </w:rPr>
        <w:t xml:space="preserve"> </w:t>
      </w:r>
      <w:r w:rsidRPr="001571D9">
        <w:rPr>
          <w:rFonts w:ascii="Book Antiqua" w:hAnsi="Book Antiqua"/>
          <w:szCs w:val="24"/>
        </w:rPr>
        <w:t xml:space="preserve">o situación familiar motivaron la abundancia de </w:t>
      </w:r>
      <w:r w:rsidRPr="001571D9">
        <w:rPr>
          <w:rFonts w:ascii="Book Antiqua" w:hAnsi="Book Antiqua"/>
          <w:i/>
          <w:szCs w:val="24"/>
        </w:rPr>
        <w:t>aclaraciones</w:t>
      </w:r>
      <w:r w:rsidRPr="001571D9">
        <w:rPr>
          <w:rFonts w:ascii="Book Antiqua" w:hAnsi="Book Antiqua"/>
          <w:szCs w:val="24"/>
        </w:rPr>
        <w:t xml:space="preserve"> por parte de los juristas. Sobre la distinción entre habitante y ciudadano vid.</w:t>
      </w:r>
      <w:r>
        <w:rPr>
          <w:rFonts w:ascii="Book Antiqua" w:hAnsi="Book Antiqua"/>
          <w:szCs w:val="24"/>
        </w:rPr>
        <w:t xml:space="preserve"> </w:t>
      </w:r>
      <w:r w:rsidRPr="001571D9">
        <w:rPr>
          <w:rFonts w:ascii="Book Antiqua" w:hAnsi="Book Antiqua"/>
          <w:szCs w:val="24"/>
        </w:rPr>
        <w:t>C.10.40 (39).7. (</w:t>
      </w:r>
      <w:proofErr w:type="spellStart"/>
      <w:r w:rsidRPr="001571D9">
        <w:rPr>
          <w:rFonts w:ascii="Book Antiqua" w:hAnsi="Book Antiqua"/>
          <w:i/>
          <w:szCs w:val="24"/>
        </w:rPr>
        <w:t>Dioc</w:t>
      </w:r>
      <w:proofErr w:type="spellEnd"/>
      <w:r w:rsidRPr="001571D9">
        <w:rPr>
          <w:rFonts w:ascii="Book Antiqua" w:hAnsi="Book Antiqua"/>
          <w:i/>
          <w:szCs w:val="24"/>
        </w:rPr>
        <w:t xml:space="preserve">. Max.) </w:t>
      </w:r>
      <w:proofErr w:type="spellStart"/>
      <w:r w:rsidRPr="001571D9">
        <w:rPr>
          <w:rFonts w:ascii="Book Antiqua" w:hAnsi="Book Antiqua"/>
          <w:i/>
          <w:szCs w:val="24"/>
        </w:rPr>
        <w:t>Cives</w:t>
      </w:r>
      <w:proofErr w:type="spellEnd"/>
      <w:r w:rsidRPr="001571D9">
        <w:rPr>
          <w:rFonts w:ascii="Book Antiqua" w:hAnsi="Book Antiqua"/>
          <w:i/>
          <w:szCs w:val="24"/>
        </w:rPr>
        <w:t xml:space="preserve"> </w:t>
      </w:r>
      <w:proofErr w:type="spellStart"/>
      <w:r w:rsidRPr="001571D9">
        <w:rPr>
          <w:rFonts w:ascii="Book Antiqua" w:hAnsi="Book Antiqua"/>
          <w:i/>
          <w:szCs w:val="24"/>
        </w:rPr>
        <w:t>quidem</w:t>
      </w:r>
      <w:proofErr w:type="spellEnd"/>
      <w:r w:rsidRPr="001571D9">
        <w:rPr>
          <w:rFonts w:ascii="Book Antiqua" w:hAnsi="Book Antiqua"/>
          <w:i/>
          <w:szCs w:val="24"/>
        </w:rPr>
        <w:t xml:space="preserve"> </w:t>
      </w:r>
      <w:proofErr w:type="spellStart"/>
      <w:r w:rsidRPr="001571D9">
        <w:rPr>
          <w:rFonts w:ascii="Book Antiqua" w:hAnsi="Book Antiqua"/>
          <w:i/>
          <w:szCs w:val="24"/>
        </w:rPr>
        <w:t>origo</w:t>
      </w:r>
      <w:proofErr w:type="spellEnd"/>
      <w:r w:rsidRPr="001571D9">
        <w:rPr>
          <w:rFonts w:ascii="Book Antiqua" w:hAnsi="Book Antiqua"/>
          <w:i/>
          <w:szCs w:val="24"/>
        </w:rPr>
        <w:t xml:space="preserve">, </w:t>
      </w:r>
      <w:proofErr w:type="spellStart"/>
      <w:r w:rsidRPr="001571D9">
        <w:rPr>
          <w:rFonts w:ascii="Book Antiqua" w:hAnsi="Book Antiqua"/>
          <w:i/>
          <w:szCs w:val="24"/>
        </w:rPr>
        <w:t>manumissio</w:t>
      </w:r>
      <w:proofErr w:type="spellEnd"/>
      <w:r w:rsidRPr="001571D9">
        <w:rPr>
          <w:rFonts w:ascii="Book Antiqua" w:hAnsi="Book Antiqua"/>
          <w:i/>
          <w:szCs w:val="24"/>
        </w:rPr>
        <w:t xml:space="preserve">, </w:t>
      </w:r>
      <w:proofErr w:type="spellStart"/>
      <w:r w:rsidRPr="001571D9">
        <w:rPr>
          <w:rFonts w:ascii="Book Antiqua" w:hAnsi="Book Antiqua"/>
          <w:i/>
          <w:szCs w:val="24"/>
        </w:rPr>
        <w:t>allectio</w:t>
      </w:r>
      <w:proofErr w:type="spellEnd"/>
      <w:r w:rsidRPr="001571D9">
        <w:rPr>
          <w:rFonts w:ascii="Book Antiqua" w:hAnsi="Book Antiqua"/>
          <w:i/>
          <w:szCs w:val="24"/>
        </w:rPr>
        <w:t xml:space="preserve"> </w:t>
      </w:r>
      <w:proofErr w:type="spellStart"/>
      <w:r w:rsidRPr="001571D9">
        <w:rPr>
          <w:rFonts w:ascii="Book Antiqua" w:hAnsi="Book Antiqua"/>
          <w:i/>
          <w:szCs w:val="24"/>
        </w:rPr>
        <w:t>vel</w:t>
      </w:r>
      <w:proofErr w:type="spellEnd"/>
      <w:r w:rsidRPr="001571D9">
        <w:rPr>
          <w:rFonts w:ascii="Book Antiqua" w:hAnsi="Book Antiqua"/>
          <w:i/>
          <w:szCs w:val="24"/>
        </w:rPr>
        <w:t xml:space="preserve"> </w:t>
      </w:r>
      <w:proofErr w:type="spellStart"/>
      <w:r w:rsidRPr="001571D9">
        <w:rPr>
          <w:rFonts w:ascii="Book Antiqua" w:hAnsi="Book Antiqua"/>
          <w:i/>
          <w:szCs w:val="24"/>
        </w:rPr>
        <w:t>adoptio</w:t>
      </w:r>
      <w:proofErr w:type="spellEnd"/>
      <w:r w:rsidRPr="001571D9">
        <w:rPr>
          <w:rFonts w:ascii="Book Antiqua" w:hAnsi="Book Antiqua"/>
          <w:i/>
          <w:szCs w:val="24"/>
        </w:rPr>
        <w:t xml:space="preserve">, </w:t>
      </w:r>
      <w:proofErr w:type="spellStart"/>
      <w:r w:rsidRPr="001571D9">
        <w:rPr>
          <w:rFonts w:ascii="Book Antiqua" w:hAnsi="Book Antiqua"/>
          <w:i/>
          <w:szCs w:val="24"/>
        </w:rPr>
        <w:t>incolas</w:t>
      </w:r>
      <w:proofErr w:type="spellEnd"/>
      <w:r w:rsidRPr="001571D9">
        <w:rPr>
          <w:rFonts w:ascii="Book Antiqua" w:hAnsi="Book Antiqua"/>
          <w:i/>
          <w:szCs w:val="24"/>
        </w:rPr>
        <w:t xml:space="preserve"> vero </w:t>
      </w:r>
      <w:proofErr w:type="spellStart"/>
      <w:r w:rsidRPr="001571D9">
        <w:rPr>
          <w:rFonts w:ascii="Book Antiqua" w:hAnsi="Book Antiqua"/>
          <w:i/>
          <w:szCs w:val="24"/>
        </w:rPr>
        <w:t>sicut</w:t>
      </w:r>
      <w:proofErr w:type="spellEnd"/>
      <w:r w:rsidRPr="001571D9">
        <w:rPr>
          <w:rFonts w:ascii="Book Antiqua" w:hAnsi="Book Antiqua"/>
          <w:i/>
          <w:szCs w:val="24"/>
        </w:rPr>
        <w:t xml:space="preserve"> et </w:t>
      </w:r>
      <w:proofErr w:type="spellStart"/>
      <w:r w:rsidRPr="001571D9">
        <w:rPr>
          <w:rFonts w:ascii="Book Antiqua" w:hAnsi="Book Antiqua"/>
          <w:i/>
          <w:szCs w:val="24"/>
        </w:rPr>
        <w:t>divus</w:t>
      </w:r>
      <w:proofErr w:type="spellEnd"/>
      <w:r w:rsidRPr="001571D9">
        <w:rPr>
          <w:rFonts w:ascii="Book Antiqua" w:hAnsi="Book Antiqua"/>
          <w:i/>
          <w:szCs w:val="24"/>
        </w:rPr>
        <w:t xml:space="preserve"> </w:t>
      </w:r>
      <w:proofErr w:type="spellStart"/>
      <w:r w:rsidRPr="001571D9">
        <w:rPr>
          <w:rFonts w:ascii="Book Antiqua" w:hAnsi="Book Antiqua"/>
          <w:i/>
          <w:szCs w:val="24"/>
        </w:rPr>
        <w:t>Hadrianus</w:t>
      </w:r>
      <w:proofErr w:type="spellEnd"/>
      <w:r w:rsidRPr="001571D9">
        <w:rPr>
          <w:rFonts w:ascii="Book Antiqua" w:hAnsi="Book Antiqua"/>
          <w:i/>
          <w:szCs w:val="24"/>
        </w:rPr>
        <w:t xml:space="preserve"> edicto </w:t>
      </w:r>
      <w:proofErr w:type="spellStart"/>
      <w:r w:rsidRPr="001571D9">
        <w:rPr>
          <w:rFonts w:ascii="Book Antiqua" w:hAnsi="Book Antiqua"/>
          <w:i/>
          <w:szCs w:val="24"/>
        </w:rPr>
        <w:t>suo</w:t>
      </w:r>
      <w:proofErr w:type="spellEnd"/>
      <w:r w:rsidRPr="001571D9">
        <w:rPr>
          <w:rFonts w:ascii="Book Antiqua" w:hAnsi="Book Antiqua"/>
          <w:i/>
          <w:szCs w:val="24"/>
        </w:rPr>
        <w:t xml:space="preserve"> </w:t>
      </w:r>
      <w:proofErr w:type="spellStart"/>
      <w:r w:rsidRPr="001571D9">
        <w:rPr>
          <w:rFonts w:ascii="Book Antiqua" w:hAnsi="Book Antiqua"/>
          <w:i/>
          <w:szCs w:val="24"/>
        </w:rPr>
        <w:t>manifestissime</w:t>
      </w:r>
      <w:proofErr w:type="spellEnd"/>
      <w:r w:rsidRPr="001571D9">
        <w:rPr>
          <w:rFonts w:ascii="Book Antiqua" w:hAnsi="Book Antiqua"/>
          <w:i/>
          <w:szCs w:val="24"/>
        </w:rPr>
        <w:t xml:space="preserve"> </w:t>
      </w:r>
      <w:proofErr w:type="spellStart"/>
      <w:r w:rsidRPr="001571D9">
        <w:rPr>
          <w:rFonts w:ascii="Book Antiqua" w:hAnsi="Book Antiqua"/>
          <w:i/>
          <w:szCs w:val="24"/>
        </w:rPr>
        <w:t>declaravit</w:t>
      </w:r>
      <w:proofErr w:type="spellEnd"/>
      <w:r w:rsidRPr="001571D9">
        <w:rPr>
          <w:rFonts w:ascii="Book Antiqua" w:hAnsi="Book Antiqua"/>
          <w:i/>
          <w:szCs w:val="24"/>
        </w:rPr>
        <w:t xml:space="preserve">, </w:t>
      </w:r>
      <w:proofErr w:type="spellStart"/>
      <w:r w:rsidRPr="001571D9">
        <w:rPr>
          <w:rFonts w:ascii="Book Antiqua" w:hAnsi="Book Antiqua"/>
          <w:i/>
          <w:szCs w:val="24"/>
        </w:rPr>
        <w:t>domicilium</w:t>
      </w:r>
      <w:proofErr w:type="spellEnd"/>
      <w:r w:rsidRPr="001571D9">
        <w:rPr>
          <w:rFonts w:ascii="Book Antiqua" w:hAnsi="Book Antiqua"/>
          <w:i/>
          <w:szCs w:val="24"/>
        </w:rPr>
        <w:t xml:space="preserve"> </w:t>
      </w:r>
      <w:proofErr w:type="spellStart"/>
      <w:r w:rsidRPr="001571D9">
        <w:rPr>
          <w:rFonts w:ascii="Book Antiqua" w:hAnsi="Book Antiqua"/>
          <w:i/>
          <w:szCs w:val="24"/>
        </w:rPr>
        <w:t>facit</w:t>
      </w:r>
      <w:proofErr w:type="spellEnd"/>
      <w:r w:rsidRPr="001571D9">
        <w:rPr>
          <w:rFonts w:ascii="Book Antiqua" w:hAnsi="Book Antiqua"/>
          <w:i/>
          <w:szCs w:val="24"/>
        </w:rPr>
        <w:t xml:space="preserve">. </w:t>
      </w:r>
      <w:r w:rsidRPr="001571D9">
        <w:rPr>
          <w:rFonts w:ascii="Book Antiqua" w:hAnsi="Book Antiqua"/>
          <w:szCs w:val="24"/>
        </w:rPr>
        <w:t xml:space="preserve">Sobre el cambio de domicilio de la mujer al contraer nupcias vid. </w:t>
      </w:r>
      <w:r w:rsidRPr="009B320C">
        <w:rPr>
          <w:rFonts w:ascii="Book Antiqua" w:hAnsi="Book Antiqua"/>
          <w:i/>
          <w:szCs w:val="24"/>
        </w:rPr>
        <w:t xml:space="preserve">Mod. </w:t>
      </w:r>
      <w:proofErr w:type="spellStart"/>
      <w:r w:rsidRPr="009B320C">
        <w:rPr>
          <w:rFonts w:ascii="Book Antiqua" w:hAnsi="Book Antiqua"/>
          <w:i/>
          <w:szCs w:val="24"/>
        </w:rPr>
        <w:t>Dif</w:t>
      </w:r>
      <w:proofErr w:type="spellEnd"/>
      <w:r w:rsidRPr="009B320C">
        <w:rPr>
          <w:rFonts w:ascii="Book Antiqua" w:hAnsi="Book Antiqua"/>
          <w:i/>
          <w:szCs w:val="24"/>
        </w:rPr>
        <w:t xml:space="preserve"> .</w:t>
      </w:r>
      <w:r w:rsidRPr="009B320C">
        <w:rPr>
          <w:rFonts w:ascii="Book Antiqua" w:hAnsi="Book Antiqua"/>
          <w:szCs w:val="24"/>
        </w:rPr>
        <w:t>4</w:t>
      </w:r>
      <w:r w:rsidRPr="001571D9">
        <w:rPr>
          <w:rFonts w:ascii="Book Antiqua" w:hAnsi="Book Antiqua"/>
          <w:szCs w:val="24"/>
        </w:rPr>
        <w:t xml:space="preserve"> D. 50.1.31. Sobre dónde demandar a los militares vid. C.3.13.6 (</w:t>
      </w:r>
      <w:proofErr w:type="spellStart"/>
      <w:r w:rsidRPr="001571D9">
        <w:rPr>
          <w:rFonts w:ascii="Book Antiqua" w:hAnsi="Book Antiqua"/>
          <w:i/>
          <w:szCs w:val="24"/>
        </w:rPr>
        <w:t>Hon</w:t>
      </w:r>
      <w:proofErr w:type="spellEnd"/>
      <w:r w:rsidRPr="001571D9">
        <w:rPr>
          <w:rFonts w:ascii="Book Antiqua" w:hAnsi="Book Antiqua"/>
          <w:i/>
          <w:szCs w:val="24"/>
        </w:rPr>
        <w:t xml:space="preserve">. </w:t>
      </w:r>
      <w:proofErr w:type="spellStart"/>
      <w:r w:rsidRPr="001571D9">
        <w:rPr>
          <w:rFonts w:ascii="Book Antiqua" w:hAnsi="Book Antiqua"/>
          <w:i/>
          <w:szCs w:val="24"/>
        </w:rPr>
        <w:t>Theod</w:t>
      </w:r>
      <w:proofErr w:type="spellEnd"/>
      <w:r w:rsidRPr="001571D9">
        <w:rPr>
          <w:rFonts w:ascii="Book Antiqua" w:hAnsi="Book Antiqua"/>
          <w:i/>
          <w:szCs w:val="24"/>
        </w:rPr>
        <w:t>.</w:t>
      </w:r>
      <w:r w:rsidRPr="001571D9">
        <w:rPr>
          <w:rFonts w:ascii="Book Antiqua" w:hAnsi="Book Antiqua"/>
          <w:szCs w:val="24"/>
        </w:rPr>
        <w:t xml:space="preserve"> 413). </w:t>
      </w:r>
    </w:p>
  </w:footnote>
  <w:footnote w:id="18">
    <w:p w14:paraId="02581F98"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i/>
          <w:szCs w:val="24"/>
        </w:rPr>
        <w:footnoteRef/>
      </w:r>
      <w:r w:rsidRPr="001571D9">
        <w:rPr>
          <w:rFonts w:ascii="Book Antiqua" w:hAnsi="Book Antiqua"/>
          <w:i/>
          <w:szCs w:val="24"/>
        </w:rPr>
        <w:t xml:space="preserve"> Marc. </w:t>
      </w:r>
      <w:proofErr w:type="spellStart"/>
      <w:r w:rsidRPr="001571D9">
        <w:rPr>
          <w:rFonts w:ascii="Book Antiqua" w:hAnsi="Book Antiqua"/>
          <w:i/>
          <w:szCs w:val="24"/>
        </w:rPr>
        <w:t>dig</w:t>
      </w:r>
      <w:proofErr w:type="spellEnd"/>
      <w:r w:rsidRPr="001571D9">
        <w:rPr>
          <w:rFonts w:ascii="Book Antiqua" w:hAnsi="Book Antiqua"/>
          <w:szCs w:val="24"/>
        </w:rPr>
        <w:t xml:space="preserve">. </w:t>
      </w:r>
      <w:r>
        <w:rPr>
          <w:rFonts w:ascii="Book Antiqua" w:hAnsi="Book Antiqua"/>
          <w:szCs w:val="24"/>
        </w:rPr>
        <w:t>1</w:t>
      </w:r>
      <w:r w:rsidRPr="001571D9">
        <w:rPr>
          <w:rFonts w:ascii="Book Antiqua" w:hAnsi="Book Antiqua"/>
          <w:szCs w:val="24"/>
        </w:rPr>
        <w:t xml:space="preserve"> D.50.1.31 recoge la libertad de elección de domicilio, pero con una salvedad importante, especialmente en aquella época, “siempre que no le estuviese prohibido”.  En todo caso, Roma era patria común D.50.1.33.</w:t>
      </w:r>
    </w:p>
  </w:footnote>
  <w:footnote w:id="19">
    <w:p w14:paraId="09C0B9E0"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La Nov.</w:t>
      </w:r>
      <w:r>
        <w:rPr>
          <w:rFonts w:ascii="Book Antiqua" w:hAnsi="Book Antiqua"/>
          <w:szCs w:val="24"/>
        </w:rPr>
        <w:t xml:space="preserve"> </w:t>
      </w:r>
      <w:r w:rsidRPr="001571D9">
        <w:rPr>
          <w:rFonts w:ascii="Book Antiqua" w:hAnsi="Book Antiqua"/>
          <w:szCs w:val="24"/>
        </w:rPr>
        <w:t>69 (Const. LXXII), ya en su prefacio señala</w:t>
      </w:r>
      <w:proofErr w:type="gramStart"/>
      <w:r w:rsidRPr="001571D9">
        <w:rPr>
          <w:rFonts w:ascii="Book Antiqua" w:hAnsi="Book Antiqua"/>
          <w:szCs w:val="24"/>
        </w:rPr>
        <w:t xml:space="preserve"> ..</w:t>
      </w:r>
      <w:proofErr w:type="spellStart"/>
      <w:proofErr w:type="gramEnd"/>
      <w:r w:rsidRPr="001571D9">
        <w:rPr>
          <w:rFonts w:ascii="Book Antiqua" w:hAnsi="Book Antiqua"/>
          <w:i/>
          <w:szCs w:val="24"/>
        </w:rPr>
        <w:t>quomodo</w:t>
      </w:r>
      <w:proofErr w:type="spellEnd"/>
      <w:r w:rsidRPr="001571D9">
        <w:rPr>
          <w:rFonts w:ascii="Book Antiqua" w:hAnsi="Book Antiqua"/>
          <w:i/>
          <w:szCs w:val="24"/>
        </w:rPr>
        <w:t xml:space="preserve"> </w:t>
      </w:r>
      <w:proofErr w:type="spellStart"/>
      <w:r w:rsidRPr="001571D9">
        <w:rPr>
          <w:rFonts w:ascii="Book Antiqua" w:hAnsi="Book Antiqua"/>
          <w:i/>
          <w:szCs w:val="24"/>
        </w:rPr>
        <w:t>valebit</w:t>
      </w:r>
      <w:proofErr w:type="spellEnd"/>
      <w:r w:rsidRPr="001571D9">
        <w:rPr>
          <w:rFonts w:ascii="Book Antiqua" w:hAnsi="Book Antiqua"/>
          <w:i/>
          <w:szCs w:val="24"/>
        </w:rPr>
        <w:t xml:space="preserve"> in </w:t>
      </w:r>
      <w:proofErr w:type="spellStart"/>
      <w:r w:rsidRPr="001571D9">
        <w:rPr>
          <w:rFonts w:ascii="Book Antiqua" w:hAnsi="Book Antiqua"/>
          <w:i/>
          <w:szCs w:val="24"/>
        </w:rPr>
        <w:t>alio</w:t>
      </w:r>
      <w:proofErr w:type="spellEnd"/>
      <w:r w:rsidRPr="001571D9">
        <w:rPr>
          <w:rFonts w:ascii="Book Antiqua" w:hAnsi="Book Antiqua"/>
          <w:i/>
          <w:szCs w:val="24"/>
        </w:rPr>
        <w:t xml:space="preserve"> loco </w:t>
      </w:r>
      <w:proofErr w:type="spellStart"/>
      <w:r w:rsidRPr="001571D9">
        <w:rPr>
          <w:rFonts w:ascii="Book Antiqua" w:hAnsi="Book Antiqua"/>
          <w:i/>
          <w:szCs w:val="24"/>
        </w:rPr>
        <w:t>probationes</w:t>
      </w:r>
      <w:proofErr w:type="spellEnd"/>
      <w:r w:rsidRPr="001571D9">
        <w:rPr>
          <w:rFonts w:ascii="Book Antiqua" w:hAnsi="Book Antiqua"/>
          <w:i/>
          <w:szCs w:val="24"/>
        </w:rPr>
        <w:t xml:space="preserve"> </w:t>
      </w:r>
      <w:proofErr w:type="spellStart"/>
      <w:r w:rsidRPr="001571D9">
        <w:rPr>
          <w:rFonts w:ascii="Book Antiqua" w:hAnsi="Book Antiqua"/>
          <w:i/>
          <w:szCs w:val="24"/>
        </w:rPr>
        <w:t>horum</w:t>
      </w:r>
      <w:proofErr w:type="spellEnd"/>
      <w:r w:rsidRPr="001571D9">
        <w:rPr>
          <w:rFonts w:ascii="Book Antiqua" w:hAnsi="Book Antiqua"/>
          <w:i/>
          <w:szCs w:val="24"/>
        </w:rPr>
        <w:t xml:space="preserve"> </w:t>
      </w:r>
      <w:proofErr w:type="spellStart"/>
      <w:r w:rsidRPr="001571D9">
        <w:rPr>
          <w:rFonts w:ascii="Book Antiqua" w:hAnsi="Book Antiqua"/>
          <w:i/>
          <w:szCs w:val="24"/>
        </w:rPr>
        <w:t>quae</w:t>
      </w:r>
      <w:proofErr w:type="spellEnd"/>
      <w:r w:rsidRPr="001571D9">
        <w:rPr>
          <w:rFonts w:ascii="Book Antiqua" w:hAnsi="Book Antiqua"/>
          <w:i/>
          <w:szCs w:val="24"/>
        </w:rPr>
        <w:t xml:space="preserve"> </w:t>
      </w:r>
      <w:proofErr w:type="spellStart"/>
      <w:r w:rsidRPr="001571D9">
        <w:rPr>
          <w:rFonts w:ascii="Book Antiqua" w:hAnsi="Book Antiqua"/>
          <w:i/>
          <w:szCs w:val="24"/>
        </w:rPr>
        <w:t>pertulit</w:t>
      </w:r>
      <w:proofErr w:type="spellEnd"/>
      <w:r w:rsidRPr="001571D9">
        <w:rPr>
          <w:rFonts w:ascii="Book Antiqua" w:hAnsi="Book Antiqua"/>
          <w:i/>
          <w:szCs w:val="24"/>
        </w:rPr>
        <w:t xml:space="preserve"> </w:t>
      </w:r>
      <w:proofErr w:type="spellStart"/>
      <w:r w:rsidRPr="001571D9">
        <w:rPr>
          <w:rFonts w:ascii="Book Antiqua" w:hAnsi="Book Antiqua"/>
          <w:i/>
          <w:szCs w:val="24"/>
        </w:rPr>
        <w:t>exhibere</w:t>
      </w:r>
      <w:proofErr w:type="spellEnd"/>
      <w:r w:rsidRPr="001571D9">
        <w:rPr>
          <w:rFonts w:ascii="Book Antiqua" w:hAnsi="Book Antiqua"/>
          <w:i/>
          <w:szCs w:val="24"/>
        </w:rPr>
        <w:t>?,</w:t>
      </w:r>
      <w:r w:rsidRPr="001571D9">
        <w:rPr>
          <w:rFonts w:ascii="Book Antiqua" w:hAnsi="Book Antiqua"/>
          <w:szCs w:val="24"/>
        </w:rPr>
        <w:t xml:space="preserve"> aludiendo a cómo se le puede pedir a un demandado que exhiba pruebas en lugar distinto al correspondiente a donde tuvo lugar el perjuicio o tema del que se tratare. </w:t>
      </w:r>
    </w:p>
  </w:footnote>
  <w:footnote w:id="20">
    <w:p w14:paraId="41A78DEF"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Como se aprecia, a pesar de que en C. 3.13.2 (</w:t>
      </w:r>
      <w:proofErr w:type="spellStart"/>
      <w:r w:rsidRPr="001071AF">
        <w:rPr>
          <w:rFonts w:ascii="Book Antiqua" w:hAnsi="Book Antiqua"/>
          <w:i/>
          <w:szCs w:val="24"/>
        </w:rPr>
        <w:t>Diocl</w:t>
      </w:r>
      <w:proofErr w:type="spellEnd"/>
      <w:r w:rsidRPr="001071AF">
        <w:rPr>
          <w:rFonts w:ascii="Book Antiqua" w:hAnsi="Book Antiqua"/>
          <w:i/>
          <w:szCs w:val="24"/>
        </w:rPr>
        <w:t>. Max</w:t>
      </w:r>
      <w:r w:rsidRPr="001571D9">
        <w:rPr>
          <w:rFonts w:ascii="Book Antiqua" w:hAnsi="Book Antiqua"/>
          <w:szCs w:val="24"/>
        </w:rPr>
        <w:t xml:space="preserve">.293) los emperadores manifiestan de forma meridiana la imposibilidad de invertir el orden competencial, en la </w:t>
      </w:r>
      <w:proofErr w:type="gramStart"/>
      <w:r w:rsidRPr="001571D9">
        <w:rPr>
          <w:rFonts w:ascii="Book Antiqua" w:hAnsi="Book Antiqua"/>
          <w:szCs w:val="24"/>
        </w:rPr>
        <w:t>Nov.</w:t>
      </w:r>
      <w:proofErr w:type="gramEnd"/>
      <w:r w:rsidRPr="001571D9">
        <w:rPr>
          <w:rFonts w:ascii="Book Antiqua" w:hAnsi="Book Antiqua"/>
          <w:szCs w:val="24"/>
        </w:rPr>
        <w:t xml:space="preserve"> 69 se vuelve a decidir sobre el mismo tema. La causa no podía ser otra que el hecho de que los demandantes perseveraban en su intento de que el proceso se desarrollase ante sus propios jueces donde tenían más poder o interés personal. </w:t>
      </w:r>
    </w:p>
  </w:footnote>
  <w:footnote w:id="21">
    <w:p w14:paraId="53FCE633"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Nov.</w:t>
      </w:r>
      <w:r>
        <w:rPr>
          <w:rFonts w:ascii="Book Antiqua" w:hAnsi="Book Antiqua"/>
          <w:szCs w:val="24"/>
        </w:rPr>
        <w:t xml:space="preserve"> 69 (</w:t>
      </w:r>
      <w:proofErr w:type="spellStart"/>
      <w:r>
        <w:rPr>
          <w:rFonts w:ascii="Book Antiqua" w:hAnsi="Book Antiqua"/>
          <w:szCs w:val="24"/>
        </w:rPr>
        <w:t>Const.LXXII</w:t>
      </w:r>
      <w:proofErr w:type="spellEnd"/>
      <w:r>
        <w:rPr>
          <w:rFonts w:ascii="Book Antiqua" w:hAnsi="Book Antiqua"/>
          <w:szCs w:val="24"/>
        </w:rPr>
        <w:t xml:space="preserve">, </w:t>
      </w:r>
      <w:proofErr w:type="spellStart"/>
      <w:proofErr w:type="gramStart"/>
      <w:r>
        <w:rPr>
          <w:rFonts w:ascii="Book Antiqua" w:hAnsi="Book Antiqua"/>
          <w:szCs w:val="24"/>
        </w:rPr>
        <w:t>c</w:t>
      </w:r>
      <w:r w:rsidRPr="001571D9">
        <w:rPr>
          <w:rFonts w:ascii="Book Antiqua" w:hAnsi="Book Antiqua"/>
          <w:szCs w:val="24"/>
        </w:rPr>
        <w:t>ap.I</w:t>
      </w:r>
      <w:proofErr w:type="spellEnd"/>
      <w:proofErr w:type="gramEnd"/>
      <w:r>
        <w:rPr>
          <w:rFonts w:ascii="Book Antiqua" w:hAnsi="Book Antiqua"/>
          <w:szCs w:val="24"/>
        </w:rPr>
        <w:t>)</w:t>
      </w:r>
      <w:r w:rsidRPr="001571D9">
        <w:rPr>
          <w:rFonts w:ascii="Book Antiqua" w:hAnsi="Book Antiqua"/>
          <w:szCs w:val="24"/>
        </w:rPr>
        <w:t xml:space="preserve">: </w:t>
      </w:r>
      <w:r w:rsidRPr="001571D9">
        <w:rPr>
          <w:rFonts w:ascii="Book Antiqua" w:hAnsi="Book Antiqua"/>
          <w:i/>
          <w:szCs w:val="24"/>
        </w:rPr>
        <w:t xml:space="preserve">Quid </w:t>
      </w:r>
      <w:proofErr w:type="spellStart"/>
      <w:r w:rsidRPr="001571D9">
        <w:rPr>
          <w:rFonts w:ascii="Book Antiqua" w:hAnsi="Book Antiqua"/>
          <w:i/>
          <w:szCs w:val="24"/>
        </w:rPr>
        <w:t>enim</w:t>
      </w:r>
      <w:proofErr w:type="spellEnd"/>
      <w:r w:rsidRPr="001571D9">
        <w:rPr>
          <w:rFonts w:ascii="Book Antiqua" w:hAnsi="Book Antiqua"/>
          <w:i/>
          <w:szCs w:val="24"/>
        </w:rPr>
        <w:t xml:space="preserve"> </w:t>
      </w:r>
      <w:proofErr w:type="spellStart"/>
      <w:r w:rsidRPr="001571D9">
        <w:rPr>
          <w:rFonts w:ascii="Book Antiqua" w:hAnsi="Book Antiqua"/>
          <w:i/>
          <w:szCs w:val="24"/>
        </w:rPr>
        <w:t>erit</w:t>
      </w:r>
      <w:proofErr w:type="spellEnd"/>
      <w:r w:rsidRPr="001571D9">
        <w:rPr>
          <w:rFonts w:ascii="Book Antiqua" w:hAnsi="Book Antiqua"/>
          <w:i/>
          <w:szCs w:val="24"/>
        </w:rPr>
        <w:t xml:space="preserve"> </w:t>
      </w:r>
      <w:proofErr w:type="spellStart"/>
      <w:r w:rsidRPr="001571D9">
        <w:rPr>
          <w:rFonts w:ascii="Book Antiqua" w:hAnsi="Book Antiqua"/>
          <w:i/>
          <w:szCs w:val="24"/>
        </w:rPr>
        <w:t>durius</w:t>
      </w:r>
      <w:proofErr w:type="spellEnd"/>
      <w:r w:rsidRPr="001571D9">
        <w:rPr>
          <w:rFonts w:ascii="Book Antiqua" w:hAnsi="Book Antiqua"/>
          <w:i/>
          <w:szCs w:val="24"/>
        </w:rPr>
        <w:t xml:space="preserve"> </w:t>
      </w:r>
      <w:proofErr w:type="spellStart"/>
      <w:r w:rsidRPr="001571D9">
        <w:rPr>
          <w:rFonts w:ascii="Book Antiqua" w:hAnsi="Book Antiqua"/>
          <w:i/>
          <w:szCs w:val="24"/>
        </w:rPr>
        <w:t>quam</w:t>
      </w:r>
      <w:proofErr w:type="spellEnd"/>
      <w:r w:rsidRPr="001571D9">
        <w:rPr>
          <w:rFonts w:ascii="Book Antiqua" w:hAnsi="Book Antiqua"/>
          <w:i/>
          <w:szCs w:val="24"/>
        </w:rPr>
        <w:t xml:space="preserve"> </w:t>
      </w:r>
      <w:proofErr w:type="spellStart"/>
      <w:r w:rsidRPr="001571D9">
        <w:rPr>
          <w:rFonts w:ascii="Book Antiqua" w:hAnsi="Book Antiqua"/>
          <w:i/>
          <w:szCs w:val="24"/>
        </w:rPr>
        <w:t>laesum</w:t>
      </w:r>
      <w:proofErr w:type="spellEnd"/>
      <w:r w:rsidRPr="001571D9">
        <w:rPr>
          <w:rFonts w:ascii="Book Antiqua" w:hAnsi="Book Antiqua"/>
          <w:i/>
          <w:szCs w:val="24"/>
        </w:rPr>
        <w:t xml:space="preserve"> </w:t>
      </w:r>
      <w:proofErr w:type="spellStart"/>
      <w:r w:rsidRPr="001571D9">
        <w:rPr>
          <w:rFonts w:ascii="Book Antiqua" w:hAnsi="Book Antiqua"/>
          <w:i/>
          <w:szCs w:val="24"/>
        </w:rPr>
        <w:t>forsam</w:t>
      </w:r>
      <w:proofErr w:type="spellEnd"/>
      <w:r w:rsidRPr="001571D9">
        <w:rPr>
          <w:rFonts w:ascii="Book Antiqua" w:hAnsi="Book Antiqua"/>
          <w:i/>
          <w:szCs w:val="24"/>
        </w:rPr>
        <w:t xml:space="preserve"> circa </w:t>
      </w:r>
      <w:proofErr w:type="spellStart"/>
      <w:r w:rsidRPr="001571D9">
        <w:rPr>
          <w:rFonts w:ascii="Book Antiqua" w:hAnsi="Book Antiqua"/>
          <w:i/>
          <w:szCs w:val="24"/>
        </w:rPr>
        <w:t>sublationem</w:t>
      </w:r>
      <w:proofErr w:type="spellEnd"/>
      <w:r w:rsidRPr="001571D9">
        <w:rPr>
          <w:rFonts w:ascii="Book Antiqua" w:hAnsi="Book Antiqua"/>
          <w:i/>
          <w:szCs w:val="24"/>
        </w:rPr>
        <w:t xml:space="preserve"> </w:t>
      </w:r>
      <w:proofErr w:type="spellStart"/>
      <w:r w:rsidRPr="001571D9">
        <w:rPr>
          <w:rFonts w:ascii="Book Antiqua" w:hAnsi="Book Antiqua"/>
          <w:i/>
          <w:szCs w:val="24"/>
        </w:rPr>
        <w:t>bovis</w:t>
      </w:r>
      <w:proofErr w:type="spellEnd"/>
      <w:r w:rsidRPr="001571D9">
        <w:rPr>
          <w:rFonts w:ascii="Book Antiqua" w:hAnsi="Book Antiqua"/>
          <w:i/>
          <w:szCs w:val="24"/>
        </w:rPr>
        <w:t xml:space="preserve"> </w:t>
      </w:r>
      <w:proofErr w:type="spellStart"/>
      <w:r w:rsidRPr="001571D9">
        <w:rPr>
          <w:rFonts w:ascii="Book Antiqua" w:hAnsi="Book Antiqua"/>
          <w:i/>
          <w:szCs w:val="24"/>
        </w:rPr>
        <w:t>aut</w:t>
      </w:r>
      <w:proofErr w:type="spellEnd"/>
      <w:r w:rsidRPr="001571D9">
        <w:rPr>
          <w:rFonts w:ascii="Book Antiqua" w:hAnsi="Book Antiqua"/>
          <w:i/>
          <w:szCs w:val="24"/>
        </w:rPr>
        <w:t xml:space="preserve"> </w:t>
      </w:r>
      <w:proofErr w:type="spellStart"/>
      <w:r w:rsidRPr="001571D9">
        <w:rPr>
          <w:rFonts w:ascii="Book Antiqua" w:hAnsi="Book Antiqua"/>
          <w:i/>
          <w:szCs w:val="24"/>
        </w:rPr>
        <w:t>equi</w:t>
      </w:r>
      <w:proofErr w:type="spellEnd"/>
      <w:r w:rsidRPr="001571D9">
        <w:rPr>
          <w:rFonts w:ascii="Book Antiqua" w:hAnsi="Book Antiqua"/>
          <w:i/>
          <w:szCs w:val="24"/>
        </w:rPr>
        <w:t xml:space="preserve"> </w:t>
      </w:r>
      <w:proofErr w:type="spellStart"/>
      <w:r w:rsidRPr="001571D9">
        <w:rPr>
          <w:rFonts w:ascii="Book Antiqua" w:hAnsi="Book Antiqua"/>
          <w:i/>
          <w:szCs w:val="24"/>
        </w:rPr>
        <w:t>aut</w:t>
      </w:r>
      <w:proofErr w:type="spellEnd"/>
      <w:r w:rsidRPr="001571D9">
        <w:rPr>
          <w:rFonts w:ascii="Book Antiqua" w:hAnsi="Book Antiqua"/>
          <w:i/>
          <w:szCs w:val="24"/>
        </w:rPr>
        <w:t xml:space="preserve"> </w:t>
      </w:r>
      <w:proofErr w:type="spellStart"/>
      <w:r w:rsidRPr="001571D9">
        <w:rPr>
          <w:rFonts w:ascii="Book Antiqua" w:hAnsi="Book Antiqua"/>
          <w:i/>
          <w:szCs w:val="24"/>
        </w:rPr>
        <w:t>iumentorum</w:t>
      </w:r>
      <w:proofErr w:type="spellEnd"/>
      <w:r w:rsidRPr="001571D9">
        <w:rPr>
          <w:rFonts w:ascii="Book Antiqua" w:hAnsi="Book Antiqua"/>
          <w:i/>
          <w:szCs w:val="24"/>
        </w:rPr>
        <w:t xml:space="preserve"> </w:t>
      </w:r>
      <w:proofErr w:type="spellStart"/>
      <w:r w:rsidRPr="001571D9">
        <w:rPr>
          <w:rFonts w:ascii="Book Antiqua" w:hAnsi="Book Antiqua"/>
          <w:i/>
          <w:szCs w:val="24"/>
        </w:rPr>
        <w:t>alicuius</w:t>
      </w:r>
      <w:proofErr w:type="spellEnd"/>
      <w:r w:rsidRPr="001571D9">
        <w:rPr>
          <w:rFonts w:ascii="Book Antiqua" w:hAnsi="Book Antiqua"/>
          <w:i/>
          <w:szCs w:val="24"/>
        </w:rPr>
        <w:t xml:space="preserve"> </w:t>
      </w:r>
      <w:proofErr w:type="spellStart"/>
      <w:r w:rsidRPr="001571D9">
        <w:rPr>
          <w:rFonts w:ascii="Book Antiqua" w:hAnsi="Book Antiqua"/>
          <w:i/>
          <w:szCs w:val="24"/>
        </w:rPr>
        <w:t>aut</w:t>
      </w:r>
      <w:proofErr w:type="spellEnd"/>
      <w:r w:rsidRPr="001571D9">
        <w:rPr>
          <w:rFonts w:ascii="Book Antiqua" w:hAnsi="Book Antiqua"/>
          <w:i/>
          <w:szCs w:val="24"/>
        </w:rPr>
        <w:t xml:space="preserve"> </w:t>
      </w:r>
      <w:proofErr w:type="spellStart"/>
      <w:r w:rsidRPr="001571D9">
        <w:rPr>
          <w:rFonts w:ascii="Book Antiqua" w:hAnsi="Book Antiqua"/>
          <w:i/>
          <w:szCs w:val="24"/>
        </w:rPr>
        <w:t>pecudum</w:t>
      </w:r>
      <w:proofErr w:type="spellEnd"/>
      <w:r w:rsidRPr="001571D9">
        <w:rPr>
          <w:rFonts w:ascii="Book Antiqua" w:hAnsi="Book Antiqua"/>
          <w:i/>
          <w:szCs w:val="24"/>
        </w:rPr>
        <w:t xml:space="preserve"> </w:t>
      </w:r>
      <w:proofErr w:type="spellStart"/>
      <w:r w:rsidRPr="001571D9">
        <w:rPr>
          <w:rFonts w:ascii="Book Antiqua" w:hAnsi="Book Antiqua"/>
          <w:i/>
          <w:szCs w:val="24"/>
        </w:rPr>
        <w:t>aut</w:t>
      </w:r>
      <w:proofErr w:type="spellEnd"/>
      <w:r w:rsidRPr="001571D9">
        <w:rPr>
          <w:rFonts w:ascii="Book Antiqua" w:hAnsi="Book Antiqua"/>
          <w:i/>
          <w:szCs w:val="24"/>
        </w:rPr>
        <w:t xml:space="preserve"> (ut </w:t>
      </w:r>
      <w:proofErr w:type="spellStart"/>
      <w:r w:rsidRPr="001571D9">
        <w:rPr>
          <w:rFonts w:ascii="Book Antiqua" w:hAnsi="Book Antiqua"/>
          <w:i/>
          <w:szCs w:val="24"/>
        </w:rPr>
        <w:t>exiquum</w:t>
      </w:r>
      <w:proofErr w:type="spellEnd"/>
      <w:r w:rsidRPr="001571D9">
        <w:rPr>
          <w:rFonts w:ascii="Book Antiqua" w:hAnsi="Book Antiqua"/>
          <w:i/>
          <w:szCs w:val="24"/>
        </w:rPr>
        <w:t xml:space="preserve"> </w:t>
      </w:r>
      <w:proofErr w:type="spellStart"/>
      <w:r w:rsidRPr="001571D9">
        <w:rPr>
          <w:rFonts w:ascii="Book Antiqua" w:hAnsi="Book Antiqua"/>
          <w:i/>
          <w:szCs w:val="24"/>
        </w:rPr>
        <w:t>dicamus</w:t>
      </w:r>
      <w:proofErr w:type="spellEnd"/>
      <w:r w:rsidRPr="001571D9">
        <w:rPr>
          <w:rFonts w:ascii="Book Antiqua" w:hAnsi="Book Antiqua"/>
          <w:i/>
          <w:szCs w:val="24"/>
        </w:rPr>
        <w:t>)</w:t>
      </w:r>
      <w:proofErr w:type="spellStart"/>
      <w:r w:rsidRPr="001571D9">
        <w:rPr>
          <w:rFonts w:ascii="Book Antiqua" w:hAnsi="Book Antiqua"/>
          <w:i/>
          <w:szCs w:val="24"/>
        </w:rPr>
        <w:t>domesticae</w:t>
      </w:r>
      <w:proofErr w:type="spellEnd"/>
      <w:r w:rsidRPr="001571D9">
        <w:rPr>
          <w:rFonts w:ascii="Book Antiqua" w:hAnsi="Book Antiqua"/>
          <w:i/>
          <w:szCs w:val="24"/>
        </w:rPr>
        <w:t xml:space="preserve"> </w:t>
      </w:r>
      <w:proofErr w:type="spellStart"/>
      <w:r w:rsidRPr="001571D9">
        <w:rPr>
          <w:rFonts w:ascii="Book Antiqua" w:hAnsi="Book Antiqua"/>
          <w:i/>
          <w:szCs w:val="24"/>
        </w:rPr>
        <w:t>gallinae</w:t>
      </w:r>
      <w:proofErr w:type="spellEnd"/>
      <w:r w:rsidRPr="001571D9">
        <w:rPr>
          <w:rFonts w:ascii="Book Antiqua" w:hAnsi="Book Antiqua"/>
          <w:i/>
          <w:szCs w:val="24"/>
        </w:rPr>
        <w:t>.. .</w:t>
      </w:r>
    </w:p>
  </w:footnote>
  <w:footnote w:id="22">
    <w:p w14:paraId="28182206" w14:textId="77777777" w:rsidR="004A00AB" w:rsidRPr="001571D9" w:rsidRDefault="004A00AB" w:rsidP="004A00AB">
      <w:pPr>
        <w:pStyle w:val="Textonotapie"/>
        <w:spacing w:line="360" w:lineRule="auto"/>
        <w:rPr>
          <w:rFonts w:ascii="Book Antiqua" w:hAnsi="Book Antiqua"/>
          <w:i/>
          <w:szCs w:val="24"/>
          <w:u w:val="single"/>
        </w:rPr>
      </w:pPr>
      <w:r w:rsidRPr="001571D9">
        <w:rPr>
          <w:rStyle w:val="Refdenotaalpie"/>
          <w:rFonts w:ascii="Book Antiqua" w:hAnsi="Book Antiqua"/>
          <w:szCs w:val="24"/>
        </w:rPr>
        <w:footnoteRef/>
      </w:r>
      <w:r w:rsidRPr="001571D9">
        <w:rPr>
          <w:rFonts w:ascii="Book Antiqua" w:hAnsi="Book Antiqua"/>
          <w:szCs w:val="24"/>
          <w:lang w:val="en-US"/>
        </w:rPr>
        <w:t xml:space="preserve"> Nov.</w:t>
      </w:r>
      <w:r>
        <w:rPr>
          <w:rFonts w:ascii="Book Antiqua" w:hAnsi="Book Antiqua"/>
          <w:szCs w:val="24"/>
          <w:lang w:val="en-US"/>
        </w:rPr>
        <w:t xml:space="preserve"> 69 (</w:t>
      </w:r>
      <w:proofErr w:type="spellStart"/>
      <w:r>
        <w:rPr>
          <w:rFonts w:ascii="Book Antiqua" w:hAnsi="Book Antiqua"/>
          <w:szCs w:val="24"/>
          <w:lang w:val="en-US"/>
        </w:rPr>
        <w:t>Const.LXXII</w:t>
      </w:r>
      <w:proofErr w:type="spellEnd"/>
      <w:r>
        <w:rPr>
          <w:rFonts w:ascii="Book Antiqua" w:hAnsi="Book Antiqua"/>
          <w:szCs w:val="24"/>
          <w:lang w:val="en-US"/>
        </w:rPr>
        <w:t xml:space="preserve">, </w:t>
      </w:r>
      <w:proofErr w:type="spellStart"/>
      <w:proofErr w:type="gramStart"/>
      <w:r>
        <w:rPr>
          <w:rFonts w:ascii="Book Antiqua" w:hAnsi="Book Antiqua"/>
          <w:szCs w:val="24"/>
          <w:lang w:val="en-US"/>
        </w:rPr>
        <w:t>cap.I</w:t>
      </w:r>
      <w:proofErr w:type="spellEnd"/>
      <w:proofErr w:type="gramEnd"/>
      <w:r w:rsidRPr="001571D9">
        <w:rPr>
          <w:rFonts w:ascii="Book Antiqua" w:hAnsi="Book Antiqua"/>
          <w:szCs w:val="24"/>
          <w:lang w:val="en-US"/>
        </w:rPr>
        <w:t xml:space="preserve">, </w:t>
      </w:r>
      <w:r w:rsidRPr="001571D9">
        <w:rPr>
          <w:rFonts w:ascii="Book Antiqua" w:hAnsi="Book Antiqua"/>
          <w:i/>
          <w:iCs/>
          <w:szCs w:val="24"/>
          <w:lang w:val="en-US"/>
        </w:rPr>
        <w:t>in fine</w:t>
      </w:r>
      <w:r>
        <w:rPr>
          <w:rFonts w:ascii="Book Antiqua" w:hAnsi="Book Antiqua"/>
          <w:i/>
          <w:iCs/>
          <w:szCs w:val="24"/>
          <w:lang w:val="en-US"/>
        </w:rPr>
        <w:t>)</w:t>
      </w:r>
      <w:r w:rsidRPr="001571D9">
        <w:rPr>
          <w:rFonts w:ascii="Book Antiqua" w:hAnsi="Book Antiqua"/>
          <w:szCs w:val="24"/>
          <w:lang w:val="en-US"/>
        </w:rPr>
        <w:t xml:space="preserve">. </w:t>
      </w:r>
      <w:r w:rsidRPr="001571D9">
        <w:rPr>
          <w:rFonts w:ascii="Book Antiqua" w:hAnsi="Book Antiqua"/>
          <w:szCs w:val="24"/>
        </w:rPr>
        <w:t xml:space="preserve">Esta referencia a que los demandados no tengan que acudir a la jurisdicción del demandante tenía raíces </w:t>
      </w:r>
      <w:r w:rsidRPr="009B320C">
        <w:rPr>
          <w:rFonts w:ascii="Book Antiqua" w:hAnsi="Book Antiqua"/>
          <w:szCs w:val="24"/>
        </w:rPr>
        <w:t>antiguas, pero es una muestra más de la influencia del cristianismo protegiendo</w:t>
      </w:r>
      <w:r w:rsidRPr="001571D9">
        <w:rPr>
          <w:rFonts w:ascii="Book Antiqua" w:hAnsi="Book Antiqua"/>
          <w:szCs w:val="24"/>
        </w:rPr>
        <w:t xml:space="preserve"> a los débiles. Otro ejemplo lo podemos encontrar en C.5.7.1 ((</w:t>
      </w:r>
      <w:proofErr w:type="spellStart"/>
      <w:r w:rsidRPr="001571D9">
        <w:rPr>
          <w:rFonts w:ascii="Book Antiqua" w:hAnsi="Book Antiqua"/>
          <w:i/>
          <w:szCs w:val="24"/>
        </w:rPr>
        <w:t>Grat</w:t>
      </w:r>
      <w:proofErr w:type="spellEnd"/>
      <w:r w:rsidRPr="001571D9">
        <w:rPr>
          <w:rFonts w:ascii="Book Antiqua" w:hAnsi="Book Antiqua"/>
          <w:i/>
          <w:szCs w:val="24"/>
        </w:rPr>
        <w:t>. Val. Theod</w:t>
      </w:r>
      <w:r w:rsidRPr="001571D9">
        <w:rPr>
          <w:rFonts w:ascii="Book Antiqua" w:hAnsi="Book Antiqua"/>
          <w:szCs w:val="24"/>
        </w:rPr>
        <w:t xml:space="preserve">.380) derogando la competencia de los vicarios de la diócesis en los casos en que utilizasen su poder para celebrar matrimonio con una mujer: </w:t>
      </w:r>
      <w:r w:rsidRPr="001571D9">
        <w:rPr>
          <w:rFonts w:ascii="Book Antiqua" w:hAnsi="Book Antiqua"/>
          <w:i/>
          <w:szCs w:val="24"/>
        </w:rPr>
        <w:t xml:space="preserve">Si </w:t>
      </w:r>
      <w:proofErr w:type="spellStart"/>
      <w:r w:rsidRPr="001571D9">
        <w:rPr>
          <w:rFonts w:ascii="Book Antiqua" w:hAnsi="Book Antiqua"/>
          <w:i/>
          <w:szCs w:val="24"/>
        </w:rPr>
        <w:t>autem</w:t>
      </w:r>
      <w:proofErr w:type="spellEnd"/>
      <w:r w:rsidRPr="001571D9">
        <w:rPr>
          <w:rFonts w:ascii="Book Antiqua" w:hAnsi="Book Antiqua"/>
          <w:i/>
          <w:szCs w:val="24"/>
        </w:rPr>
        <w:t xml:space="preserve"> </w:t>
      </w:r>
      <w:proofErr w:type="spellStart"/>
      <w:r w:rsidRPr="001571D9">
        <w:rPr>
          <w:rFonts w:ascii="Book Antiqua" w:hAnsi="Book Antiqua"/>
          <w:i/>
          <w:szCs w:val="24"/>
        </w:rPr>
        <w:t>vicarius</w:t>
      </w:r>
      <w:proofErr w:type="spellEnd"/>
      <w:r w:rsidRPr="001571D9">
        <w:rPr>
          <w:rFonts w:ascii="Book Antiqua" w:hAnsi="Book Antiqua"/>
          <w:i/>
          <w:szCs w:val="24"/>
        </w:rPr>
        <w:t xml:space="preserve"> </w:t>
      </w:r>
      <w:proofErr w:type="spellStart"/>
      <w:proofErr w:type="gramStart"/>
      <w:r w:rsidRPr="001571D9">
        <w:rPr>
          <w:rFonts w:ascii="Book Antiqua" w:hAnsi="Book Antiqua"/>
          <w:i/>
          <w:szCs w:val="24"/>
        </w:rPr>
        <w:t>vel</w:t>
      </w:r>
      <w:proofErr w:type="spellEnd"/>
      <w:r w:rsidRPr="001571D9">
        <w:rPr>
          <w:rFonts w:ascii="Book Antiqua" w:hAnsi="Book Antiqua"/>
          <w:i/>
          <w:szCs w:val="24"/>
        </w:rPr>
        <w:t xml:space="preserve">  </w:t>
      </w:r>
      <w:proofErr w:type="spellStart"/>
      <w:r w:rsidRPr="001571D9">
        <w:rPr>
          <w:rFonts w:ascii="Book Antiqua" w:hAnsi="Book Antiqua"/>
          <w:i/>
          <w:szCs w:val="24"/>
        </w:rPr>
        <w:t>similis</w:t>
      </w:r>
      <w:proofErr w:type="spellEnd"/>
      <w:proofErr w:type="gramEnd"/>
      <w:r w:rsidRPr="001571D9">
        <w:rPr>
          <w:rFonts w:ascii="Book Antiqua" w:hAnsi="Book Antiqua"/>
          <w:i/>
          <w:szCs w:val="24"/>
        </w:rPr>
        <w:t xml:space="preserve"> </w:t>
      </w:r>
      <w:proofErr w:type="spellStart"/>
      <w:r w:rsidRPr="001571D9">
        <w:rPr>
          <w:rFonts w:ascii="Book Antiqua" w:hAnsi="Book Antiqua"/>
          <w:i/>
          <w:szCs w:val="24"/>
        </w:rPr>
        <w:t>potestatis</w:t>
      </w:r>
      <w:proofErr w:type="spellEnd"/>
      <w:r w:rsidRPr="001571D9">
        <w:rPr>
          <w:rFonts w:ascii="Book Antiqua" w:hAnsi="Book Antiqua"/>
          <w:i/>
          <w:szCs w:val="24"/>
        </w:rPr>
        <w:t xml:space="preserve"> </w:t>
      </w:r>
      <w:proofErr w:type="spellStart"/>
      <w:r w:rsidRPr="001571D9">
        <w:rPr>
          <w:rFonts w:ascii="Book Antiqua" w:hAnsi="Book Antiqua"/>
          <w:i/>
          <w:szCs w:val="24"/>
        </w:rPr>
        <w:t>vim</w:t>
      </w:r>
      <w:proofErr w:type="spellEnd"/>
      <w:r w:rsidRPr="001571D9">
        <w:rPr>
          <w:rFonts w:ascii="Book Antiqua" w:hAnsi="Book Antiqua"/>
          <w:i/>
          <w:szCs w:val="24"/>
        </w:rPr>
        <w:t xml:space="preserve"> in </w:t>
      </w:r>
      <w:proofErr w:type="spellStart"/>
      <w:r w:rsidRPr="001571D9">
        <w:rPr>
          <w:rFonts w:ascii="Book Antiqua" w:hAnsi="Book Antiqua"/>
          <w:i/>
          <w:szCs w:val="24"/>
        </w:rPr>
        <w:t>huiusmodi</w:t>
      </w:r>
      <w:proofErr w:type="spellEnd"/>
      <w:r w:rsidRPr="001571D9">
        <w:rPr>
          <w:rFonts w:ascii="Book Antiqua" w:hAnsi="Book Antiqua"/>
          <w:i/>
          <w:szCs w:val="24"/>
        </w:rPr>
        <w:t xml:space="preserve"> </w:t>
      </w:r>
      <w:proofErr w:type="spellStart"/>
      <w:r w:rsidRPr="001571D9">
        <w:rPr>
          <w:rFonts w:ascii="Book Antiqua" w:hAnsi="Book Antiqua"/>
          <w:i/>
          <w:szCs w:val="24"/>
        </w:rPr>
        <w:t>contrahendo</w:t>
      </w:r>
      <w:proofErr w:type="spellEnd"/>
      <w:r w:rsidRPr="001571D9">
        <w:rPr>
          <w:rFonts w:ascii="Book Antiqua" w:hAnsi="Book Antiqua"/>
          <w:i/>
          <w:szCs w:val="24"/>
        </w:rPr>
        <w:t xml:space="preserve"> matrimonio </w:t>
      </w:r>
      <w:proofErr w:type="spellStart"/>
      <w:r w:rsidRPr="001571D9">
        <w:rPr>
          <w:rFonts w:ascii="Book Antiqua" w:hAnsi="Book Antiqua"/>
          <w:i/>
          <w:szCs w:val="24"/>
        </w:rPr>
        <w:t>mulietur</w:t>
      </w:r>
      <w:proofErr w:type="spellEnd"/>
      <w:r w:rsidRPr="001571D9">
        <w:rPr>
          <w:rFonts w:ascii="Book Antiqua" w:hAnsi="Book Antiqua"/>
          <w:i/>
          <w:szCs w:val="24"/>
        </w:rPr>
        <w:t xml:space="preserve">, </w:t>
      </w:r>
      <w:proofErr w:type="spellStart"/>
      <w:r w:rsidRPr="001571D9">
        <w:rPr>
          <w:rFonts w:ascii="Book Antiqua" w:hAnsi="Book Antiqua"/>
          <w:i/>
          <w:szCs w:val="24"/>
        </w:rPr>
        <w:t>vicissim</w:t>
      </w:r>
      <w:proofErr w:type="spellEnd"/>
      <w:r w:rsidRPr="001571D9">
        <w:rPr>
          <w:rFonts w:ascii="Book Antiqua" w:hAnsi="Book Antiqua"/>
          <w:i/>
          <w:szCs w:val="24"/>
        </w:rPr>
        <w:t xml:space="preserve"> </w:t>
      </w:r>
      <w:proofErr w:type="spellStart"/>
      <w:r w:rsidRPr="001571D9">
        <w:rPr>
          <w:rFonts w:ascii="Book Antiqua" w:hAnsi="Book Antiqua"/>
          <w:i/>
          <w:szCs w:val="24"/>
        </w:rPr>
        <w:t>ordinarius</w:t>
      </w:r>
      <w:proofErr w:type="spellEnd"/>
      <w:r w:rsidRPr="001571D9">
        <w:rPr>
          <w:rFonts w:ascii="Book Antiqua" w:hAnsi="Book Antiqua"/>
          <w:i/>
          <w:szCs w:val="24"/>
        </w:rPr>
        <w:t xml:space="preserve"> </w:t>
      </w:r>
      <w:proofErr w:type="spellStart"/>
      <w:r w:rsidRPr="001571D9">
        <w:rPr>
          <w:rFonts w:ascii="Book Antiqua" w:hAnsi="Book Antiqua"/>
          <w:i/>
          <w:szCs w:val="24"/>
        </w:rPr>
        <w:t>iudiex</w:t>
      </w:r>
      <w:proofErr w:type="spellEnd"/>
      <w:r w:rsidRPr="001571D9">
        <w:rPr>
          <w:rFonts w:ascii="Book Antiqua" w:hAnsi="Book Antiqua"/>
          <w:i/>
          <w:szCs w:val="24"/>
        </w:rPr>
        <w:t xml:space="preserve"> intercesor </w:t>
      </w:r>
      <w:proofErr w:type="spellStart"/>
      <w:r w:rsidRPr="001571D9">
        <w:rPr>
          <w:rFonts w:ascii="Book Antiqua" w:hAnsi="Book Antiqua"/>
          <w:i/>
          <w:szCs w:val="24"/>
        </w:rPr>
        <w:t>exist</w:t>
      </w:r>
      <w:r w:rsidRPr="009B320C">
        <w:rPr>
          <w:rFonts w:ascii="Book Antiqua" w:hAnsi="Book Antiqua"/>
          <w:i/>
          <w:szCs w:val="24"/>
        </w:rPr>
        <w:t>at</w:t>
      </w:r>
      <w:proofErr w:type="spellEnd"/>
      <w:r w:rsidRPr="009B320C">
        <w:rPr>
          <w:rFonts w:ascii="Book Antiqua" w:hAnsi="Book Antiqua"/>
          <w:i/>
          <w:szCs w:val="24"/>
        </w:rPr>
        <w:t>...</w:t>
      </w:r>
      <w:r w:rsidRPr="001571D9">
        <w:rPr>
          <w:rFonts w:ascii="Book Antiqua" w:hAnsi="Book Antiqua"/>
          <w:szCs w:val="24"/>
        </w:rPr>
        <w:t xml:space="preserve"> . En el mismo sentido C.3.14.1 </w:t>
      </w:r>
      <w:r w:rsidRPr="001071AF">
        <w:rPr>
          <w:rFonts w:ascii="Book Antiqua" w:hAnsi="Book Antiqua"/>
          <w:i/>
          <w:szCs w:val="24"/>
        </w:rPr>
        <w:t>(Const</w:t>
      </w:r>
      <w:r w:rsidRPr="001571D9">
        <w:rPr>
          <w:rFonts w:ascii="Book Antiqua" w:hAnsi="Book Antiqua"/>
          <w:szCs w:val="24"/>
        </w:rPr>
        <w:t>.</w:t>
      </w:r>
      <w:r>
        <w:rPr>
          <w:rFonts w:ascii="Book Antiqua" w:hAnsi="Book Antiqua"/>
          <w:szCs w:val="24"/>
        </w:rPr>
        <w:t xml:space="preserve"> </w:t>
      </w:r>
      <w:r w:rsidRPr="001571D9">
        <w:rPr>
          <w:rFonts w:ascii="Book Antiqua" w:hAnsi="Book Antiqua"/>
          <w:szCs w:val="24"/>
        </w:rPr>
        <w:t xml:space="preserve">334), en el que se otorga especial protección a viudas, pupilos, enfermos y desvalidos, permitiendo que puedan litigar en su provincia, salvo que se trate de supuestos de abuso de los poderosos, en cuyo caso se permite litigar directamente ante el emperador: </w:t>
      </w:r>
      <w:r w:rsidRPr="001571D9">
        <w:rPr>
          <w:rFonts w:ascii="Book Antiqua" w:hAnsi="Book Antiqua"/>
          <w:i/>
          <w:szCs w:val="24"/>
        </w:rPr>
        <w:t xml:space="preserve">Si contra pupillos, </w:t>
      </w:r>
      <w:proofErr w:type="spellStart"/>
      <w:r w:rsidRPr="001571D9">
        <w:rPr>
          <w:rFonts w:ascii="Book Antiqua" w:hAnsi="Book Antiqua"/>
          <w:i/>
          <w:szCs w:val="24"/>
        </w:rPr>
        <w:t>viduas</w:t>
      </w:r>
      <w:proofErr w:type="spellEnd"/>
      <w:r w:rsidRPr="001571D9">
        <w:rPr>
          <w:rFonts w:ascii="Book Antiqua" w:hAnsi="Book Antiqua"/>
          <w:i/>
          <w:szCs w:val="24"/>
        </w:rPr>
        <w:t xml:space="preserve"> </w:t>
      </w:r>
      <w:proofErr w:type="spellStart"/>
      <w:r w:rsidRPr="001571D9">
        <w:rPr>
          <w:rFonts w:ascii="Book Antiqua" w:hAnsi="Book Antiqua"/>
          <w:i/>
          <w:szCs w:val="24"/>
        </w:rPr>
        <w:t>vel</w:t>
      </w:r>
      <w:proofErr w:type="spellEnd"/>
      <w:r w:rsidRPr="001571D9">
        <w:rPr>
          <w:rFonts w:ascii="Book Antiqua" w:hAnsi="Book Antiqua"/>
          <w:i/>
          <w:szCs w:val="24"/>
        </w:rPr>
        <w:t xml:space="preserve"> diuturno morbo </w:t>
      </w:r>
      <w:proofErr w:type="spellStart"/>
      <w:r w:rsidRPr="001571D9">
        <w:rPr>
          <w:rFonts w:ascii="Book Antiqua" w:hAnsi="Book Antiqua"/>
          <w:i/>
          <w:szCs w:val="24"/>
        </w:rPr>
        <w:t>fatigatos</w:t>
      </w:r>
      <w:proofErr w:type="spellEnd"/>
      <w:r w:rsidRPr="001571D9">
        <w:rPr>
          <w:rFonts w:ascii="Book Antiqua" w:hAnsi="Book Antiqua"/>
          <w:i/>
          <w:szCs w:val="24"/>
        </w:rPr>
        <w:t xml:space="preserve"> et débiles </w:t>
      </w:r>
      <w:proofErr w:type="spellStart"/>
      <w:r w:rsidRPr="001571D9">
        <w:rPr>
          <w:rFonts w:ascii="Book Antiqua" w:hAnsi="Book Antiqua"/>
          <w:i/>
          <w:szCs w:val="24"/>
        </w:rPr>
        <w:t>impetratum</w:t>
      </w:r>
      <w:proofErr w:type="spellEnd"/>
      <w:r w:rsidRPr="001571D9">
        <w:rPr>
          <w:rFonts w:ascii="Book Antiqua" w:hAnsi="Book Antiqua"/>
          <w:i/>
          <w:szCs w:val="24"/>
        </w:rPr>
        <w:t xml:space="preserve"> </w:t>
      </w:r>
      <w:proofErr w:type="spellStart"/>
      <w:r w:rsidRPr="001571D9">
        <w:rPr>
          <w:rFonts w:ascii="Book Antiqua" w:hAnsi="Book Antiqua"/>
          <w:i/>
          <w:szCs w:val="24"/>
        </w:rPr>
        <w:t>fuerit</w:t>
      </w:r>
      <w:proofErr w:type="spellEnd"/>
      <w:r w:rsidRPr="001571D9">
        <w:rPr>
          <w:rFonts w:ascii="Book Antiqua" w:hAnsi="Book Antiqua"/>
          <w:i/>
          <w:szCs w:val="24"/>
        </w:rPr>
        <w:t xml:space="preserve"> </w:t>
      </w:r>
      <w:proofErr w:type="spellStart"/>
      <w:r w:rsidRPr="001571D9">
        <w:rPr>
          <w:rFonts w:ascii="Book Antiqua" w:hAnsi="Book Antiqua"/>
          <w:i/>
          <w:szCs w:val="24"/>
        </w:rPr>
        <w:t>lenitatis</w:t>
      </w:r>
      <w:proofErr w:type="spellEnd"/>
      <w:r w:rsidRPr="001571D9">
        <w:rPr>
          <w:rFonts w:ascii="Book Antiqua" w:hAnsi="Book Antiqua"/>
          <w:i/>
          <w:szCs w:val="24"/>
        </w:rPr>
        <w:t xml:space="preserve"> </w:t>
      </w:r>
      <w:proofErr w:type="spellStart"/>
      <w:proofErr w:type="gramStart"/>
      <w:r w:rsidRPr="001571D9">
        <w:rPr>
          <w:rFonts w:ascii="Book Antiqua" w:hAnsi="Book Antiqua"/>
          <w:i/>
          <w:szCs w:val="24"/>
        </w:rPr>
        <w:t>nostrae</w:t>
      </w:r>
      <w:proofErr w:type="spellEnd"/>
      <w:r w:rsidRPr="001571D9">
        <w:rPr>
          <w:rFonts w:ascii="Book Antiqua" w:hAnsi="Book Antiqua"/>
          <w:i/>
          <w:szCs w:val="24"/>
        </w:rPr>
        <w:t xml:space="preserve">  </w:t>
      </w:r>
      <w:proofErr w:type="spellStart"/>
      <w:r w:rsidRPr="001571D9">
        <w:rPr>
          <w:rFonts w:ascii="Book Antiqua" w:hAnsi="Book Antiqua"/>
          <w:i/>
          <w:szCs w:val="24"/>
        </w:rPr>
        <w:t>iudicium</w:t>
      </w:r>
      <w:proofErr w:type="spellEnd"/>
      <w:r w:rsidRPr="001571D9">
        <w:rPr>
          <w:rFonts w:ascii="Book Antiqua" w:hAnsi="Book Antiqua"/>
          <w:i/>
          <w:szCs w:val="24"/>
        </w:rPr>
        <w:t>,..</w:t>
      </w:r>
      <w:proofErr w:type="gramEnd"/>
      <w:r w:rsidRPr="001571D9">
        <w:rPr>
          <w:rFonts w:ascii="Book Antiqua" w:hAnsi="Book Antiqua"/>
          <w:i/>
          <w:szCs w:val="24"/>
        </w:rPr>
        <w:t xml:space="preserve">  .</w:t>
      </w:r>
    </w:p>
  </w:footnote>
  <w:footnote w:id="23">
    <w:p w14:paraId="40DDFE72" w14:textId="77777777" w:rsidR="004A00AB" w:rsidRPr="001571D9" w:rsidRDefault="004A00AB" w:rsidP="004A00AB">
      <w:pPr>
        <w:spacing w:line="360" w:lineRule="auto"/>
        <w:jc w:val="both"/>
        <w:rPr>
          <w:rFonts w:ascii="Book Antiqua" w:hAnsi="Book Antiqua"/>
          <w:sz w:val="24"/>
          <w:szCs w:val="24"/>
        </w:rPr>
      </w:pPr>
      <w:r w:rsidRPr="001571D9">
        <w:rPr>
          <w:rStyle w:val="Refdenotaalpie"/>
          <w:rFonts w:ascii="Book Antiqua" w:hAnsi="Book Antiqua"/>
          <w:sz w:val="24"/>
          <w:szCs w:val="24"/>
        </w:rPr>
        <w:footnoteRef/>
      </w:r>
      <w:r w:rsidRPr="001571D9">
        <w:rPr>
          <w:rFonts w:ascii="Book Antiqua" w:hAnsi="Book Antiqua"/>
          <w:sz w:val="24"/>
          <w:szCs w:val="24"/>
        </w:rPr>
        <w:t xml:space="preserve"> </w:t>
      </w:r>
      <w:r w:rsidRPr="001571D9">
        <w:rPr>
          <w:rFonts w:ascii="Book Antiqua" w:hAnsi="Book Antiqua" w:cs="Times New Roman"/>
          <w:sz w:val="24"/>
          <w:szCs w:val="24"/>
        </w:rPr>
        <w:t xml:space="preserve">Sobre el concepto domicilio vid. </w:t>
      </w:r>
      <w:proofErr w:type="spellStart"/>
      <w:r w:rsidRPr="00D14817">
        <w:rPr>
          <w:rFonts w:ascii="Book Antiqua" w:hAnsi="Book Antiqua" w:cs="Times New Roman"/>
          <w:sz w:val="24"/>
          <w:szCs w:val="24"/>
        </w:rPr>
        <w:t>BETHMANN</w:t>
      </w:r>
      <w:proofErr w:type="spellEnd"/>
      <w:r w:rsidRPr="00D14817">
        <w:rPr>
          <w:rFonts w:ascii="Book Antiqua" w:hAnsi="Book Antiqua" w:cs="Times New Roman"/>
          <w:sz w:val="24"/>
          <w:szCs w:val="24"/>
        </w:rPr>
        <w:t xml:space="preserve">- </w:t>
      </w:r>
      <w:proofErr w:type="spellStart"/>
      <w:r w:rsidRPr="00D14817">
        <w:rPr>
          <w:rFonts w:ascii="Book Antiqua" w:hAnsi="Book Antiqua" w:cs="Times New Roman"/>
          <w:sz w:val="24"/>
          <w:szCs w:val="24"/>
        </w:rPr>
        <w:t>HOLWEG</w:t>
      </w:r>
      <w:proofErr w:type="spellEnd"/>
      <w:r w:rsidRPr="00D14817">
        <w:rPr>
          <w:rFonts w:ascii="Book Antiqua" w:hAnsi="Book Antiqua" w:cs="Times New Roman"/>
          <w:sz w:val="24"/>
          <w:szCs w:val="24"/>
        </w:rPr>
        <w:t xml:space="preserve">, </w:t>
      </w:r>
      <w:r w:rsidRPr="00D14817">
        <w:rPr>
          <w:rFonts w:ascii="Book Antiqua" w:hAnsi="Book Antiqua" w:cs="Times New Roman"/>
          <w:i/>
          <w:sz w:val="24"/>
          <w:szCs w:val="24"/>
        </w:rPr>
        <w:t xml:space="preserve">Der </w:t>
      </w:r>
      <w:proofErr w:type="spellStart"/>
      <w:r w:rsidRPr="00D14817">
        <w:rPr>
          <w:rFonts w:ascii="Book Antiqua" w:hAnsi="Book Antiqua" w:cs="Times New Roman"/>
          <w:i/>
          <w:sz w:val="24"/>
          <w:szCs w:val="24"/>
        </w:rPr>
        <w:t>röm</w:t>
      </w:r>
      <w:proofErr w:type="spellEnd"/>
      <w:r w:rsidRPr="00D14817">
        <w:rPr>
          <w:rFonts w:ascii="Book Antiqua" w:hAnsi="Book Antiqua" w:cs="Times New Roman"/>
          <w:i/>
          <w:sz w:val="24"/>
          <w:szCs w:val="24"/>
        </w:rPr>
        <w:t xml:space="preserve">. </w:t>
      </w:r>
      <w:proofErr w:type="spellStart"/>
      <w:r w:rsidRPr="00D14817">
        <w:rPr>
          <w:rFonts w:ascii="Book Antiqua" w:hAnsi="Book Antiqua" w:cs="Times New Roman"/>
          <w:i/>
          <w:sz w:val="24"/>
          <w:szCs w:val="24"/>
        </w:rPr>
        <w:t>Zivilprozess</w:t>
      </w:r>
      <w:proofErr w:type="spellEnd"/>
      <w:r w:rsidRPr="00D14817">
        <w:rPr>
          <w:rFonts w:ascii="Book Antiqua" w:hAnsi="Book Antiqua" w:cs="Times New Roman"/>
          <w:sz w:val="24"/>
          <w:szCs w:val="24"/>
        </w:rPr>
        <w:t xml:space="preserve">, II, 1985; </w:t>
      </w:r>
      <w:r w:rsidRPr="009B320C">
        <w:rPr>
          <w:rFonts w:ascii="Book Antiqua" w:hAnsi="Book Antiqua" w:cs="Times New Roman"/>
          <w:sz w:val="24"/>
          <w:szCs w:val="24"/>
        </w:rPr>
        <w:t xml:space="preserve">GIRARD, P. F., </w:t>
      </w:r>
      <w:r w:rsidRPr="009B320C">
        <w:rPr>
          <w:rFonts w:ascii="Book Antiqua" w:hAnsi="Book Antiqua" w:cs="Times New Roman"/>
          <w:i/>
          <w:sz w:val="24"/>
          <w:szCs w:val="24"/>
        </w:rPr>
        <w:t>Manu</w:t>
      </w:r>
      <w:r w:rsidRPr="001571D9">
        <w:rPr>
          <w:rFonts w:ascii="Book Antiqua" w:hAnsi="Book Antiqua" w:cs="Times New Roman"/>
          <w:i/>
          <w:sz w:val="24"/>
          <w:szCs w:val="24"/>
        </w:rPr>
        <w:t xml:space="preserve">el de </w:t>
      </w:r>
      <w:proofErr w:type="spellStart"/>
      <w:r w:rsidRPr="001571D9">
        <w:rPr>
          <w:rFonts w:ascii="Book Antiqua" w:hAnsi="Book Antiqua" w:cs="Times New Roman"/>
          <w:i/>
          <w:sz w:val="24"/>
          <w:szCs w:val="24"/>
        </w:rPr>
        <w:t>Droit</w:t>
      </w:r>
      <w:proofErr w:type="spellEnd"/>
      <w:r w:rsidRPr="001571D9">
        <w:rPr>
          <w:rFonts w:ascii="Book Antiqua" w:hAnsi="Book Antiqua" w:cs="Times New Roman"/>
          <w:i/>
          <w:sz w:val="24"/>
          <w:szCs w:val="24"/>
        </w:rPr>
        <w:t xml:space="preserve"> </w:t>
      </w:r>
      <w:proofErr w:type="spellStart"/>
      <w:r w:rsidRPr="001571D9">
        <w:rPr>
          <w:rFonts w:ascii="Book Antiqua" w:hAnsi="Book Antiqua" w:cs="Times New Roman"/>
          <w:i/>
          <w:sz w:val="24"/>
          <w:szCs w:val="24"/>
        </w:rPr>
        <w:t>Romaine</w:t>
      </w:r>
      <w:proofErr w:type="spellEnd"/>
      <w:r w:rsidRPr="001571D9">
        <w:rPr>
          <w:rFonts w:ascii="Book Antiqua" w:hAnsi="Book Antiqua" w:cs="Times New Roman"/>
          <w:sz w:val="24"/>
          <w:szCs w:val="24"/>
        </w:rPr>
        <w:t>, París, 1929; ROBLES REYES, J. R.</w:t>
      </w:r>
      <w:r w:rsidRPr="001571D9">
        <w:rPr>
          <w:rFonts w:ascii="Book Antiqua" w:hAnsi="Book Antiqua" w:cs="Times New Roman"/>
          <w:i/>
          <w:sz w:val="24"/>
          <w:szCs w:val="24"/>
        </w:rPr>
        <w:t>, La competencia jurisdiccional y judicial</w:t>
      </w:r>
      <w:r w:rsidRPr="001571D9">
        <w:rPr>
          <w:rFonts w:ascii="Book Antiqua" w:hAnsi="Book Antiqua" w:cs="Times New Roman"/>
          <w:sz w:val="24"/>
          <w:szCs w:val="24"/>
        </w:rPr>
        <w:t xml:space="preserve"> </w:t>
      </w:r>
      <w:r w:rsidRPr="001571D9">
        <w:rPr>
          <w:rFonts w:ascii="Book Antiqua" w:hAnsi="Book Antiqua" w:cs="Times New Roman"/>
          <w:i/>
          <w:sz w:val="24"/>
          <w:szCs w:val="24"/>
        </w:rPr>
        <w:t>en Roma</w:t>
      </w:r>
      <w:r w:rsidRPr="001571D9">
        <w:rPr>
          <w:rFonts w:ascii="Book Antiqua" w:hAnsi="Book Antiqua" w:cs="Times New Roman"/>
          <w:sz w:val="24"/>
          <w:szCs w:val="24"/>
        </w:rPr>
        <w:t xml:space="preserve">, </w:t>
      </w:r>
      <w:proofErr w:type="spellStart"/>
      <w:r>
        <w:rPr>
          <w:rFonts w:ascii="Book Antiqua" w:hAnsi="Book Antiqua" w:cs="Times New Roman"/>
          <w:sz w:val="24"/>
          <w:szCs w:val="24"/>
        </w:rPr>
        <w:t>op</w:t>
      </w:r>
      <w:proofErr w:type="spellEnd"/>
      <w:r>
        <w:rPr>
          <w:rFonts w:ascii="Book Antiqua" w:hAnsi="Book Antiqua" w:cs="Times New Roman"/>
          <w:sz w:val="24"/>
          <w:szCs w:val="24"/>
        </w:rPr>
        <w:t xml:space="preserve">. </w:t>
      </w:r>
      <w:r w:rsidRPr="001571D9">
        <w:rPr>
          <w:rFonts w:ascii="Book Antiqua" w:hAnsi="Book Antiqua" w:cs="Times New Roman"/>
          <w:sz w:val="24"/>
          <w:szCs w:val="24"/>
        </w:rPr>
        <w:t>cit. pp.</w:t>
      </w:r>
      <w:r>
        <w:rPr>
          <w:rFonts w:ascii="Book Antiqua" w:hAnsi="Book Antiqua" w:cs="Times New Roman"/>
          <w:sz w:val="24"/>
          <w:szCs w:val="24"/>
        </w:rPr>
        <w:t xml:space="preserve"> </w:t>
      </w:r>
      <w:r w:rsidRPr="001571D9">
        <w:rPr>
          <w:rFonts w:ascii="Book Antiqua" w:hAnsi="Book Antiqua" w:cs="Times New Roman"/>
          <w:sz w:val="24"/>
          <w:szCs w:val="24"/>
        </w:rPr>
        <w:t>33-42. Para un estudio actualizado del concepto de domicilio y su evolución hasta ser recogido en el Reglamento europeo de Sucesiones vid. LÓPEZ-RENDO RODRIGUEZ, C. y AZAUSTRE FERNÁNDEZ, M.</w:t>
      </w:r>
      <w:r w:rsidRPr="001571D9">
        <w:rPr>
          <w:rFonts w:ascii="Book Antiqua" w:hAnsi="Book Antiqua"/>
          <w:sz w:val="24"/>
          <w:szCs w:val="24"/>
        </w:rPr>
        <w:t xml:space="preserve"> J., </w:t>
      </w:r>
      <w:r w:rsidRPr="001571D9">
        <w:rPr>
          <w:rFonts w:ascii="Book Antiqua" w:hAnsi="Book Antiqua" w:cs="Times New Roman"/>
          <w:sz w:val="24"/>
          <w:szCs w:val="24"/>
        </w:rPr>
        <w:t xml:space="preserve">“Sumisión y residencia habitual en el Reglamento Europeo de Sucesiones: Fundamentos </w:t>
      </w:r>
      <w:proofErr w:type="spellStart"/>
      <w:r w:rsidRPr="001571D9">
        <w:rPr>
          <w:rFonts w:ascii="Book Antiqua" w:hAnsi="Book Antiqua" w:cs="Times New Roman"/>
          <w:sz w:val="24"/>
          <w:szCs w:val="24"/>
        </w:rPr>
        <w:t>Romanísticos</w:t>
      </w:r>
      <w:proofErr w:type="spellEnd"/>
      <w:r w:rsidRPr="001571D9">
        <w:rPr>
          <w:rFonts w:ascii="Book Antiqua" w:hAnsi="Book Antiqua" w:cs="Times New Roman"/>
          <w:sz w:val="24"/>
          <w:szCs w:val="24"/>
        </w:rPr>
        <w:t xml:space="preserve">”, </w:t>
      </w:r>
      <w:proofErr w:type="gramStart"/>
      <w:r w:rsidRPr="001571D9">
        <w:rPr>
          <w:rFonts w:ascii="Book Antiqua" w:hAnsi="Book Antiqua" w:cs="Times New Roman"/>
          <w:sz w:val="24"/>
          <w:szCs w:val="24"/>
        </w:rPr>
        <w:t xml:space="preserve">en  </w:t>
      </w:r>
      <w:r w:rsidRPr="001571D9">
        <w:rPr>
          <w:rFonts w:ascii="Book Antiqua" w:hAnsi="Book Antiqua" w:cs="Times New Roman"/>
          <w:i/>
          <w:sz w:val="24"/>
          <w:szCs w:val="24"/>
        </w:rPr>
        <w:t>Fundamentos</w:t>
      </w:r>
      <w:proofErr w:type="gramEnd"/>
      <w:r w:rsidRPr="001571D9">
        <w:rPr>
          <w:rFonts w:ascii="Book Antiqua" w:hAnsi="Book Antiqua" w:cs="Times New Roman"/>
          <w:i/>
          <w:sz w:val="24"/>
          <w:szCs w:val="24"/>
        </w:rPr>
        <w:t xml:space="preserve"> </w:t>
      </w:r>
      <w:proofErr w:type="spellStart"/>
      <w:r w:rsidRPr="001571D9">
        <w:rPr>
          <w:rFonts w:ascii="Book Antiqua" w:hAnsi="Book Antiqua" w:cs="Times New Roman"/>
          <w:i/>
          <w:sz w:val="24"/>
          <w:szCs w:val="24"/>
        </w:rPr>
        <w:t>Romanísticos</w:t>
      </w:r>
      <w:proofErr w:type="spellEnd"/>
      <w:r w:rsidRPr="001571D9">
        <w:rPr>
          <w:rFonts w:ascii="Book Antiqua" w:hAnsi="Book Antiqua" w:cs="Times New Roman"/>
          <w:i/>
          <w:sz w:val="24"/>
          <w:szCs w:val="24"/>
        </w:rPr>
        <w:t xml:space="preserve"> del Derecho Europeo e Iberoamericano, </w:t>
      </w:r>
      <w:r>
        <w:rPr>
          <w:rFonts w:ascii="Book Antiqua" w:hAnsi="Book Antiqua" w:cs="Times New Roman"/>
          <w:sz w:val="24"/>
          <w:szCs w:val="24"/>
        </w:rPr>
        <w:t>(</w:t>
      </w:r>
      <w:r w:rsidRPr="009B320C">
        <w:rPr>
          <w:rFonts w:ascii="Book Antiqua" w:hAnsi="Book Antiqua" w:cs="Times New Roman"/>
          <w:sz w:val="24"/>
          <w:szCs w:val="24"/>
        </w:rPr>
        <w:t xml:space="preserve">coord. Carmen López Rendo), Vol. II, Madrid, 2020, pp. 49 y </w:t>
      </w:r>
      <w:proofErr w:type="spellStart"/>
      <w:r w:rsidRPr="009B320C">
        <w:rPr>
          <w:rFonts w:ascii="Book Antiqua" w:hAnsi="Book Antiqua" w:cs="Times New Roman"/>
          <w:sz w:val="24"/>
          <w:szCs w:val="24"/>
        </w:rPr>
        <w:t>ss</w:t>
      </w:r>
      <w:proofErr w:type="spellEnd"/>
      <w:r w:rsidRPr="009B320C">
        <w:rPr>
          <w:rFonts w:ascii="Book Antiqua" w:hAnsi="Book Antiqua" w:cs="Times New Roman"/>
          <w:sz w:val="24"/>
          <w:szCs w:val="24"/>
        </w:rPr>
        <w:t>,</w:t>
      </w:r>
      <w:r w:rsidRPr="009B320C">
        <w:rPr>
          <w:rFonts w:ascii="Book Antiqua" w:hAnsi="Book Antiqua"/>
          <w:sz w:val="24"/>
          <w:szCs w:val="24"/>
        </w:rPr>
        <w:t>.</w:t>
      </w:r>
    </w:p>
  </w:footnote>
  <w:footnote w:id="24">
    <w:p w14:paraId="1F773315"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w:t>
      </w:r>
      <w:proofErr w:type="spellStart"/>
      <w:r w:rsidRPr="001571D9">
        <w:rPr>
          <w:rFonts w:ascii="Book Antiqua" w:hAnsi="Book Antiqua"/>
          <w:i/>
          <w:szCs w:val="24"/>
        </w:rPr>
        <w:t>Pap</w:t>
      </w:r>
      <w:proofErr w:type="spellEnd"/>
      <w:r w:rsidRPr="001571D9">
        <w:rPr>
          <w:rFonts w:ascii="Book Antiqua" w:hAnsi="Book Antiqua"/>
          <w:i/>
          <w:szCs w:val="24"/>
        </w:rPr>
        <w:t xml:space="preserve">. </w:t>
      </w:r>
      <w:r w:rsidRPr="001571D9">
        <w:rPr>
          <w:rFonts w:ascii="Book Antiqua" w:hAnsi="Book Antiqua"/>
          <w:szCs w:val="24"/>
        </w:rPr>
        <w:t>1</w:t>
      </w:r>
      <w:r w:rsidRPr="001571D9">
        <w:rPr>
          <w:rFonts w:ascii="Book Antiqua" w:hAnsi="Book Antiqua"/>
          <w:i/>
          <w:szCs w:val="24"/>
        </w:rPr>
        <w:t xml:space="preserve"> </w:t>
      </w:r>
      <w:proofErr w:type="spellStart"/>
      <w:r w:rsidRPr="001571D9">
        <w:rPr>
          <w:rFonts w:ascii="Book Antiqua" w:hAnsi="Book Antiqua"/>
          <w:i/>
          <w:szCs w:val="24"/>
        </w:rPr>
        <w:t>resp</w:t>
      </w:r>
      <w:r w:rsidRPr="001571D9">
        <w:rPr>
          <w:rFonts w:ascii="Book Antiqua" w:hAnsi="Book Antiqua"/>
          <w:szCs w:val="24"/>
        </w:rPr>
        <w:t>.D</w:t>
      </w:r>
      <w:proofErr w:type="spellEnd"/>
      <w:r w:rsidRPr="001571D9">
        <w:rPr>
          <w:rFonts w:ascii="Book Antiqua" w:hAnsi="Book Antiqua"/>
          <w:szCs w:val="24"/>
        </w:rPr>
        <w:t>. 50.1.17.13.</w:t>
      </w:r>
    </w:p>
  </w:footnote>
  <w:footnote w:id="25">
    <w:p w14:paraId="3AEF7409"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w:t>
      </w:r>
      <w:proofErr w:type="spellStart"/>
      <w:r w:rsidRPr="001571D9">
        <w:rPr>
          <w:rFonts w:ascii="Book Antiqua" w:hAnsi="Book Antiqua"/>
          <w:i/>
          <w:szCs w:val="24"/>
        </w:rPr>
        <w:t>Ulp</w:t>
      </w:r>
      <w:proofErr w:type="spellEnd"/>
      <w:r w:rsidRPr="001571D9">
        <w:rPr>
          <w:rFonts w:ascii="Book Antiqua" w:hAnsi="Book Antiqua"/>
          <w:i/>
          <w:szCs w:val="24"/>
        </w:rPr>
        <w:t>. ad. ed.</w:t>
      </w:r>
      <w:r>
        <w:rPr>
          <w:rFonts w:ascii="Book Antiqua" w:hAnsi="Book Antiqua"/>
          <w:i/>
          <w:szCs w:val="24"/>
        </w:rPr>
        <w:t xml:space="preserve"> </w:t>
      </w:r>
      <w:r w:rsidRPr="001071AF">
        <w:rPr>
          <w:rFonts w:ascii="Book Antiqua" w:hAnsi="Book Antiqua"/>
          <w:szCs w:val="24"/>
        </w:rPr>
        <w:t>D</w:t>
      </w:r>
      <w:r w:rsidRPr="001571D9">
        <w:rPr>
          <w:rFonts w:ascii="Book Antiqua" w:hAnsi="Book Antiqua"/>
          <w:szCs w:val="24"/>
        </w:rPr>
        <w:t xml:space="preserve">. </w:t>
      </w:r>
      <w:proofErr w:type="gramStart"/>
      <w:r w:rsidRPr="001571D9">
        <w:rPr>
          <w:rFonts w:ascii="Book Antiqua" w:hAnsi="Book Antiqua"/>
          <w:szCs w:val="24"/>
        </w:rPr>
        <w:t>50.1.27.1</w:t>
      </w:r>
      <w:r w:rsidRPr="001571D9">
        <w:rPr>
          <w:rFonts w:ascii="Book Antiqua" w:hAnsi="Book Antiqua"/>
          <w:i/>
          <w:szCs w:val="24"/>
        </w:rPr>
        <w:t>:</w:t>
      </w:r>
      <w:r>
        <w:rPr>
          <w:rFonts w:ascii="Book Antiqua" w:hAnsi="Book Antiqua"/>
          <w:i/>
          <w:szCs w:val="24"/>
        </w:rPr>
        <w:t>Si</w:t>
      </w:r>
      <w:proofErr w:type="gramEnd"/>
      <w:r w:rsidRPr="001571D9">
        <w:rPr>
          <w:rFonts w:ascii="Book Antiqua" w:hAnsi="Book Antiqua"/>
          <w:i/>
          <w:szCs w:val="24"/>
        </w:rPr>
        <w:t xml:space="preserve"> quis </w:t>
      </w:r>
      <w:proofErr w:type="spellStart"/>
      <w:r w:rsidRPr="001571D9">
        <w:rPr>
          <w:rFonts w:ascii="Book Antiqua" w:hAnsi="Book Antiqua"/>
          <w:i/>
          <w:szCs w:val="24"/>
        </w:rPr>
        <w:t>negotia</w:t>
      </w:r>
      <w:proofErr w:type="spellEnd"/>
      <w:r w:rsidRPr="001571D9">
        <w:rPr>
          <w:rFonts w:ascii="Book Antiqua" w:hAnsi="Book Antiqua"/>
          <w:i/>
          <w:szCs w:val="24"/>
        </w:rPr>
        <w:t xml:space="preserve"> </w:t>
      </w:r>
      <w:proofErr w:type="spellStart"/>
      <w:r w:rsidRPr="001571D9">
        <w:rPr>
          <w:rFonts w:ascii="Book Antiqua" w:hAnsi="Book Antiqua"/>
          <w:i/>
          <w:szCs w:val="24"/>
        </w:rPr>
        <w:t>sua</w:t>
      </w:r>
      <w:proofErr w:type="spellEnd"/>
      <w:r w:rsidRPr="001571D9">
        <w:rPr>
          <w:rFonts w:ascii="Book Antiqua" w:hAnsi="Book Antiqua"/>
          <w:i/>
          <w:szCs w:val="24"/>
        </w:rPr>
        <w:t xml:space="preserve"> non in colonia sed in municipio </w:t>
      </w:r>
      <w:proofErr w:type="spellStart"/>
      <w:r w:rsidRPr="001571D9">
        <w:rPr>
          <w:rFonts w:ascii="Book Antiqua" w:hAnsi="Book Antiqua"/>
          <w:i/>
          <w:szCs w:val="24"/>
        </w:rPr>
        <w:t>semper</w:t>
      </w:r>
      <w:proofErr w:type="spellEnd"/>
      <w:r w:rsidRPr="001571D9">
        <w:rPr>
          <w:rFonts w:ascii="Book Antiqua" w:hAnsi="Book Antiqua"/>
          <w:i/>
          <w:szCs w:val="24"/>
        </w:rPr>
        <w:t xml:space="preserve"> </w:t>
      </w:r>
      <w:proofErr w:type="spellStart"/>
      <w:r w:rsidRPr="001571D9">
        <w:rPr>
          <w:rFonts w:ascii="Book Antiqua" w:hAnsi="Book Antiqua"/>
          <w:i/>
          <w:szCs w:val="24"/>
        </w:rPr>
        <w:t>agit</w:t>
      </w:r>
      <w:proofErr w:type="spellEnd"/>
      <w:r w:rsidRPr="001571D9">
        <w:rPr>
          <w:rFonts w:ascii="Book Antiqua" w:hAnsi="Book Antiqua"/>
          <w:i/>
          <w:szCs w:val="24"/>
        </w:rPr>
        <w:t xml:space="preserve">, in illo </w:t>
      </w:r>
      <w:proofErr w:type="spellStart"/>
      <w:r w:rsidRPr="001571D9">
        <w:rPr>
          <w:rFonts w:ascii="Book Antiqua" w:hAnsi="Book Antiqua"/>
          <w:i/>
          <w:szCs w:val="24"/>
        </w:rPr>
        <w:t>vendit</w:t>
      </w:r>
      <w:proofErr w:type="spellEnd"/>
      <w:r w:rsidRPr="001571D9">
        <w:rPr>
          <w:rFonts w:ascii="Book Antiqua" w:hAnsi="Book Antiqua"/>
          <w:i/>
          <w:szCs w:val="24"/>
        </w:rPr>
        <w:t xml:space="preserve"> </w:t>
      </w:r>
      <w:proofErr w:type="spellStart"/>
      <w:r w:rsidRPr="001571D9">
        <w:rPr>
          <w:rFonts w:ascii="Book Antiqua" w:hAnsi="Book Antiqua"/>
          <w:i/>
          <w:szCs w:val="24"/>
        </w:rPr>
        <w:t>emit</w:t>
      </w:r>
      <w:proofErr w:type="spellEnd"/>
      <w:r w:rsidRPr="001571D9">
        <w:rPr>
          <w:rFonts w:ascii="Book Antiqua" w:hAnsi="Book Antiqua"/>
          <w:i/>
          <w:szCs w:val="24"/>
        </w:rPr>
        <w:t xml:space="preserve"> </w:t>
      </w:r>
      <w:proofErr w:type="spellStart"/>
      <w:r w:rsidRPr="001571D9">
        <w:rPr>
          <w:rFonts w:ascii="Book Antiqua" w:hAnsi="Book Antiqua"/>
          <w:i/>
          <w:szCs w:val="24"/>
        </w:rPr>
        <w:t>contrait</w:t>
      </w:r>
      <w:proofErr w:type="spellEnd"/>
      <w:r w:rsidRPr="001571D9">
        <w:rPr>
          <w:rFonts w:ascii="Book Antiqua" w:hAnsi="Book Antiqua"/>
          <w:i/>
          <w:szCs w:val="24"/>
        </w:rPr>
        <w:t xml:space="preserve">, in ero foro </w:t>
      </w:r>
      <w:proofErr w:type="spellStart"/>
      <w:r w:rsidRPr="001571D9">
        <w:rPr>
          <w:rFonts w:ascii="Book Antiqua" w:hAnsi="Book Antiqua"/>
          <w:i/>
          <w:szCs w:val="24"/>
        </w:rPr>
        <w:t>balineo</w:t>
      </w:r>
      <w:proofErr w:type="spellEnd"/>
      <w:r w:rsidRPr="001571D9">
        <w:rPr>
          <w:rFonts w:ascii="Book Antiqua" w:hAnsi="Book Antiqua"/>
          <w:i/>
          <w:szCs w:val="24"/>
        </w:rPr>
        <w:t xml:space="preserve"> </w:t>
      </w:r>
      <w:proofErr w:type="spellStart"/>
      <w:r w:rsidRPr="001571D9">
        <w:rPr>
          <w:rFonts w:ascii="Book Antiqua" w:hAnsi="Book Antiqua"/>
          <w:i/>
          <w:szCs w:val="24"/>
        </w:rPr>
        <w:t>spectaculis</w:t>
      </w:r>
      <w:proofErr w:type="spellEnd"/>
      <w:r w:rsidRPr="001571D9">
        <w:rPr>
          <w:rFonts w:ascii="Book Antiqua" w:hAnsi="Book Antiqua"/>
          <w:i/>
          <w:szCs w:val="24"/>
        </w:rPr>
        <w:t xml:space="preserve"> </w:t>
      </w:r>
      <w:proofErr w:type="spellStart"/>
      <w:r w:rsidRPr="001571D9">
        <w:rPr>
          <w:rFonts w:ascii="Book Antiqua" w:hAnsi="Book Antiqua"/>
          <w:i/>
          <w:szCs w:val="24"/>
        </w:rPr>
        <w:t>utitur</w:t>
      </w:r>
      <w:proofErr w:type="spellEnd"/>
      <w:r w:rsidRPr="001571D9">
        <w:rPr>
          <w:rFonts w:ascii="Book Antiqua" w:hAnsi="Book Antiqua"/>
          <w:i/>
          <w:szCs w:val="24"/>
        </w:rPr>
        <w:t xml:space="preserve">, </w:t>
      </w:r>
      <w:proofErr w:type="spellStart"/>
      <w:r w:rsidRPr="001571D9">
        <w:rPr>
          <w:rFonts w:ascii="Book Antiqua" w:hAnsi="Book Antiqua"/>
          <w:i/>
          <w:szCs w:val="24"/>
        </w:rPr>
        <w:t>ibi</w:t>
      </w:r>
      <w:proofErr w:type="spellEnd"/>
      <w:r w:rsidRPr="001571D9">
        <w:rPr>
          <w:rFonts w:ascii="Book Antiqua" w:hAnsi="Book Antiqua"/>
          <w:i/>
          <w:szCs w:val="24"/>
        </w:rPr>
        <w:t xml:space="preserve"> </w:t>
      </w:r>
      <w:proofErr w:type="spellStart"/>
      <w:r w:rsidRPr="001571D9">
        <w:rPr>
          <w:rFonts w:ascii="Book Antiqua" w:hAnsi="Book Antiqua"/>
          <w:i/>
          <w:szCs w:val="24"/>
        </w:rPr>
        <w:t>festos</w:t>
      </w:r>
      <w:proofErr w:type="spellEnd"/>
      <w:r w:rsidRPr="001571D9">
        <w:rPr>
          <w:rFonts w:ascii="Book Antiqua" w:hAnsi="Book Antiqua"/>
          <w:i/>
          <w:szCs w:val="24"/>
        </w:rPr>
        <w:t xml:space="preserve"> </w:t>
      </w:r>
      <w:proofErr w:type="spellStart"/>
      <w:r w:rsidRPr="001571D9">
        <w:rPr>
          <w:rFonts w:ascii="Book Antiqua" w:hAnsi="Book Antiqua"/>
          <w:i/>
          <w:szCs w:val="24"/>
        </w:rPr>
        <w:t>dies</w:t>
      </w:r>
      <w:proofErr w:type="spellEnd"/>
      <w:r w:rsidRPr="001571D9">
        <w:rPr>
          <w:rFonts w:ascii="Book Antiqua" w:hAnsi="Book Antiqua"/>
          <w:i/>
          <w:szCs w:val="24"/>
        </w:rPr>
        <w:t xml:space="preserve"> </w:t>
      </w:r>
      <w:proofErr w:type="spellStart"/>
      <w:r w:rsidRPr="001571D9">
        <w:rPr>
          <w:rFonts w:ascii="Book Antiqua" w:hAnsi="Book Antiqua"/>
          <w:i/>
          <w:szCs w:val="24"/>
        </w:rPr>
        <w:t>celebrat</w:t>
      </w:r>
      <w:proofErr w:type="spellEnd"/>
      <w:r w:rsidRPr="001571D9">
        <w:rPr>
          <w:rFonts w:ascii="Book Antiqua" w:hAnsi="Book Antiqua"/>
          <w:i/>
          <w:szCs w:val="24"/>
        </w:rPr>
        <w:t xml:space="preserve"> </w:t>
      </w:r>
      <w:proofErr w:type="spellStart"/>
      <w:r w:rsidRPr="001571D9">
        <w:rPr>
          <w:rFonts w:ascii="Book Antiqua" w:hAnsi="Book Antiqua"/>
          <w:i/>
          <w:szCs w:val="24"/>
        </w:rPr>
        <w:t>omnibus</w:t>
      </w:r>
      <w:proofErr w:type="spellEnd"/>
      <w:r w:rsidRPr="001571D9">
        <w:rPr>
          <w:rFonts w:ascii="Book Antiqua" w:hAnsi="Book Antiqua"/>
          <w:i/>
          <w:szCs w:val="24"/>
        </w:rPr>
        <w:t xml:space="preserve"> </w:t>
      </w:r>
      <w:proofErr w:type="spellStart"/>
      <w:r w:rsidRPr="001571D9">
        <w:rPr>
          <w:rFonts w:ascii="Book Antiqua" w:hAnsi="Book Antiqua"/>
          <w:i/>
          <w:szCs w:val="24"/>
        </w:rPr>
        <w:t>denique</w:t>
      </w:r>
      <w:proofErr w:type="spellEnd"/>
      <w:r w:rsidRPr="001571D9">
        <w:rPr>
          <w:rFonts w:ascii="Book Antiqua" w:hAnsi="Book Antiqua"/>
          <w:i/>
          <w:szCs w:val="24"/>
        </w:rPr>
        <w:t xml:space="preserve"> </w:t>
      </w:r>
      <w:proofErr w:type="spellStart"/>
      <w:r w:rsidRPr="001571D9">
        <w:rPr>
          <w:rFonts w:ascii="Book Antiqua" w:hAnsi="Book Antiqua"/>
          <w:i/>
          <w:szCs w:val="24"/>
        </w:rPr>
        <w:t>municipii</w:t>
      </w:r>
      <w:proofErr w:type="spellEnd"/>
      <w:r w:rsidRPr="001571D9">
        <w:rPr>
          <w:rFonts w:ascii="Book Antiqua" w:hAnsi="Book Antiqua"/>
          <w:i/>
          <w:szCs w:val="24"/>
        </w:rPr>
        <w:t xml:space="preserve"> </w:t>
      </w:r>
      <w:proofErr w:type="spellStart"/>
      <w:r w:rsidRPr="001571D9">
        <w:rPr>
          <w:rFonts w:ascii="Book Antiqua" w:hAnsi="Book Antiqua"/>
          <w:i/>
          <w:szCs w:val="24"/>
        </w:rPr>
        <w:t>commodis</w:t>
      </w:r>
      <w:proofErr w:type="spellEnd"/>
      <w:r w:rsidRPr="001571D9">
        <w:rPr>
          <w:rFonts w:ascii="Book Antiqua" w:hAnsi="Book Antiqua"/>
          <w:i/>
          <w:szCs w:val="24"/>
        </w:rPr>
        <w:t xml:space="preserve">, </w:t>
      </w:r>
      <w:proofErr w:type="spellStart"/>
      <w:r w:rsidRPr="001571D9">
        <w:rPr>
          <w:rFonts w:ascii="Book Antiqua" w:hAnsi="Book Antiqua"/>
          <w:i/>
          <w:szCs w:val="24"/>
        </w:rPr>
        <w:t>nullis</w:t>
      </w:r>
      <w:proofErr w:type="spellEnd"/>
      <w:r w:rsidRPr="001571D9">
        <w:rPr>
          <w:rFonts w:ascii="Book Antiqua" w:hAnsi="Book Antiqua"/>
          <w:i/>
          <w:szCs w:val="24"/>
        </w:rPr>
        <w:t xml:space="preserve"> </w:t>
      </w:r>
      <w:proofErr w:type="spellStart"/>
      <w:r w:rsidRPr="001571D9">
        <w:rPr>
          <w:rFonts w:ascii="Book Antiqua" w:hAnsi="Book Antiqua"/>
          <w:i/>
          <w:szCs w:val="24"/>
        </w:rPr>
        <w:t>coloniarum</w:t>
      </w:r>
      <w:proofErr w:type="spellEnd"/>
      <w:r w:rsidRPr="001571D9">
        <w:rPr>
          <w:rFonts w:ascii="Book Antiqua" w:hAnsi="Book Antiqua"/>
          <w:i/>
          <w:szCs w:val="24"/>
        </w:rPr>
        <w:t xml:space="preserve"> </w:t>
      </w:r>
      <w:proofErr w:type="spellStart"/>
      <w:r w:rsidRPr="001571D9">
        <w:rPr>
          <w:rFonts w:ascii="Book Antiqua" w:hAnsi="Book Antiqua"/>
          <w:i/>
          <w:szCs w:val="24"/>
        </w:rPr>
        <w:t>fruitur</w:t>
      </w:r>
      <w:proofErr w:type="spellEnd"/>
      <w:r w:rsidRPr="001571D9">
        <w:rPr>
          <w:rFonts w:ascii="Book Antiqua" w:hAnsi="Book Antiqua"/>
          <w:i/>
          <w:szCs w:val="24"/>
        </w:rPr>
        <w:t xml:space="preserve">, </w:t>
      </w:r>
      <w:proofErr w:type="spellStart"/>
      <w:r w:rsidRPr="001571D9">
        <w:rPr>
          <w:rFonts w:ascii="Book Antiqua" w:hAnsi="Book Antiqua"/>
          <w:i/>
          <w:szCs w:val="24"/>
        </w:rPr>
        <w:t>ibi</w:t>
      </w:r>
      <w:proofErr w:type="spellEnd"/>
      <w:r w:rsidRPr="001571D9">
        <w:rPr>
          <w:rFonts w:ascii="Book Antiqua" w:hAnsi="Book Antiqua"/>
          <w:i/>
          <w:szCs w:val="24"/>
        </w:rPr>
        <w:t xml:space="preserve"> </w:t>
      </w:r>
      <w:proofErr w:type="spellStart"/>
      <w:r w:rsidRPr="001571D9">
        <w:rPr>
          <w:rFonts w:ascii="Book Antiqua" w:hAnsi="Book Antiqua"/>
          <w:i/>
          <w:szCs w:val="24"/>
        </w:rPr>
        <w:t>magis</w:t>
      </w:r>
      <w:proofErr w:type="spellEnd"/>
      <w:r w:rsidRPr="001571D9">
        <w:rPr>
          <w:rFonts w:ascii="Book Antiqua" w:hAnsi="Book Antiqua"/>
          <w:i/>
          <w:szCs w:val="24"/>
        </w:rPr>
        <w:t xml:space="preserve"> </w:t>
      </w:r>
      <w:proofErr w:type="spellStart"/>
      <w:r w:rsidRPr="001571D9">
        <w:rPr>
          <w:rFonts w:ascii="Book Antiqua" w:hAnsi="Book Antiqua"/>
          <w:i/>
          <w:szCs w:val="24"/>
        </w:rPr>
        <w:t>habere</w:t>
      </w:r>
      <w:proofErr w:type="spellEnd"/>
      <w:r w:rsidRPr="001571D9">
        <w:rPr>
          <w:rFonts w:ascii="Book Antiqua" w:hAnsi="Book Antiqua"/>
          <w:i/>
          <w:szCs w:val="24"/>
        </w:rPr>
        <w:t xml:space="preserve"> </w:t>
      </w:r>
      <w:proofErr w:type="spellStart"/>
      <w:r w:rsidRPr="001571D9">
        <w:rPr>
          <w:rFonts w:ascii="Book Antiqua" w:hAnsi="Book Antiqua"/>
          <w:i/>
          <w:szCs w:val="24"/>
        </w:rPr>
        <w:t>domicilium</w:t>
      </w:r>
      <w:proofErr w:type="spellEnd"/>
      <w:r w:rsidRPr="001571D9">
        <w:rPr>
          <w:rFonts w:ascii="Book Antiqua" w:hAnsi="Book Antiqua"/>
          <w:i/>
          <w:szCs w:val="24"/>
        </w:rPr>
        <w:t xml:space="preserve">, </w:t>
      </w:r>
      <w:proofErr w:type="spellStart"/>
      <w:r w:rsidRPr="001571D9">
        <w:rPr>
          <w:rFonts w:ascii="Book Antiqua" w:hAnsi="Book Antiqua"/>
          <w:i/>
          <w:szCs w:val="24"/>
        </w:rPr>
        <w:t>quam</w:t>
      </w:r>
      <w:proofErr w:type="spellEnd"/>
      <w:r w:rsidRPr="001571D9">
        <w:rPr>
          <w:rFonts w:ascii="Book Antiqua" w:hAnsi="Book Antiqua"/>
          <w:i/>
          <w:szCs w:val="24"/>
        </w:rPr>
        <w:t xml:space="preserve"> </w:t>
      </w:r>
      <w:proofErr w:type="spellStart"/>
      <w:r w:rsidRPr="001571D9">
        <w:rPr>
          <w:rFonts w:ascii="Book Antiqua" w:hAnsi="Book Antiqua"/>
          <w:i/>
          <w:szCs w:val="24"/>
        </w:rPr>
        <w:t>ubi</w:t>
      </w:r>
      <w:proofErr w:type="spellEnd"/>
      <w:r w:rsidRPr="001571D9">
        <w:rPr>
          <w:rFonts w:ascii="Book Antiqua" w:hAnsi="Book Antiqua"/>
          <w:i/>
          <w:szCs w:val="24"/>
        </w:rPr>
        <w:t xml:space="preserve"> </w:t>
      </w:r>
      <w:proofErr w:type="spellStart"/>
      <w:r w:rsidRPr="001571D9">
        <w:rPr>
          <w:rFonts w:ascii="Book Antiqua" w:hAnsi="Book Antiqua"/>
          <w:i/>
          <w:szCs w:val="24"/>
        </w:rPr>
        <w:t>colendi</w:t>
      </w:r>
      <w:proofErr w:type="spellEnd"/>
      <w:r w:rsidRPr="001571D9">
        <w:rPr>
          <w:rFonts w:ascii="Book Antiqua" w:hAnsi="Book Antiqua"/>
          <w:i/>
          <w:szCs w:val="24"/>
        </w:rPr>
        <w:t xml:space="preserve"> causa </w:t>
      </w:r>
      <w:proofErr w:type="spellStart"/>
      <w:r w:rsidRPr="001571D9">
        <w:rPr>
          <w:rFonts w:ascii="Book Antiqua" w:hAnsi="Book Antiqua"/>
          <w:i/>
          <w:szCs w:val="24"/>
        </w:rPr>
        <w:t>deversatur</w:t>
      </w:r>
      <w:proofErr w:type="spellEnd"/>
      <w:r w:rsidRPr="001571D9">
        <w:rPr>
          <w:rFonts w:ascii="Book Antiqua" w:hAnsi="Book Antiqua"/>
          <w:i/>
          <w:szCs w:val="24"/>
        </w:rPr>
        <w:t xml:space="preserve">. </w:t>
      </w:r>
      <w:r w:rsidRPr="001571D9">
        <w:rPr>
          <w:rFonts w:ascii="Book Antiqua" w:hAnsi="Book Antiqua"/>
          <w:szCs w:val="24"/>
        </w:rPr>
        <w:t xml:space="preserve">En el mismo sentido </w:t>
      </w:r>
      <w:r w:rsidRPr="001571D9">
        <w:rPr>
          <w:rFonts w:ascii="Book Antiqua" w:hAnsi="Book Antiqua"/>
          <w:i/>
          <w:szCs w:val="24"/>
        </w:rPr>
        <w:t>Mod.</w:t>
      </w:r>
      <w:r w:rsidRPr="001571D9">
        <w:rPr>
          <w:rFonts w:ascii="Book Antiqua" w:hAnsi="Book Antiqua"/>
          <w:szCs w:val="24"/>
        </w:rPr>
        <w:t xml:space="preserve"> D. 50.1.35, en el sentido de calificar lo que deba ser domicilio en atención al lugar donde se “disfruten las comodidades”.</w:t>
      </w:r>
    </w:p>
  </w:footnote>
  <w:footnote w:id="26">
    <w:p w14:paraId="0F435B15" w14:textId="77777777" w:rsidR="004A00AB" w:rsidRPr="001571D9" w:rsidRDefault="004A00AB" w:rsidP="004A00AB">
      <w:pPr>
        <w:pStyle w:val="Textonotapie"/>
        <w:spacing w:line="360" w:lineRule="auto"/>
        <w:rPr>
          <w:rFonts w:ascii="Book Antiqua" w:hAnsi="Book Antiqua"/>
          <w:i/>
          <w:szCs w:val="24"/>
        </w:rPr>
      </w:pPr>
      <w:r w:rsidRPr="001571D9">
        <w:rPr>
          <w:rStyle w:val="Refdenotaalpie"/>
          <w:rFonts w:ascii="Book Antiqua" w:hAnsi="Book Antiqua"/>
          <w:szCs w:val="24"/>
        </w:rPr>
        <w:footnoteRef/>
      </w:r>
      <w:r w:rsidRPr="001571D9">
        <w:rPr>
          <w:rFonts w:ascii="Book Antiqua" w:hAnsi="Book Antiqua"/>
          <w:szCs w:val="24"/>
        </w:rPr>
        <w:t xml:space="preserve"> La </w:t>
      </w:r>
      <w:r w:rsidRPr="009B320C">
        <w:rPr>
          <w:rFonts w:ascii="Book Antiqua" w:hAnsi="Book Antiqua"/>
          <w:szCs w:val="24"/>
        </w:rPr>
        <w:t>responsa</w:t>
      </w:r>
      <w:r w:rsidRPr="001571D9">
        <w:rPr>
          <w:rFonts w:ascii="Book Antiqua" w:hAnsi="Book Antiqua"/>
          <w:szCs w:val="24"/>
        </w:rPr>
        <w:t xml:space="preserve"> de Celso es recogida por Ulpiano en D. 50.1.27.2. El mismo Ulpiano recoge en D. 50.1.6.2 la opinión de los juristas, sin citar nombres, defendiendo la posibilidad de tener dos domicilios, si en ninguno de ellos se estableció una persona en detrimento del otro</w:t>
      </w:r>
      <w:r w:rsidRPr="001571D9">
        <w:rPr>
          <w:rFonts w:ascii="Book Antiqua" w:hAnsi="Book Antiqua"/>
          <w:i/>
          <w:szCs w:val="24"/>
        </w:rPr>
        <w:t xml:space="preserve">: </w:t>
      </w:r>
      <w:proofErr w:type="spellStart"/>
      <w:r w:rsidRPr="009B320C">
        <w:rPr>
          <w:rFonts w:ascii="Book Antiqua" w:hAnsi="Book Antiqua"/>
          <w:i/>
          <w:szCs w:val="24"/>
        </w:rPr>
        <w:t>Viris</w:t>
      </w:r>
      <w:proofErr w:type="spellEnd"/>
      <w:r w:rsidRPr="009B320C">
        <w:rPr>
          <w:rFonts w:ascii="Book Antiqua" w:hAnsi="Book Antiqua"/>
          <w:i/>
          <w:szCs w:val="24"/>
        </w:rPr>
        <w:t xml:space="preserve"> </w:t>
      </w:r>
      <w:proofErr w:type="spellStart"/>
      <w:r w:rsidRPr="009B320C">
        <w:rPr>
          <w:rFonts w:ascii="Book Antiqua" w:hAnsi="Book Antiqua"/>
          <w:i/>
          <w:szCs w:val="24"/>
        </w:rPr>
        <w:t>prudientibius</w:t>
      </w:r>
      <w:proofErr w:type="spellEnd"/>
      <w:r w:rsidRPr="009B320C">
        <w:rPr>
          <w:rFonts w:ascii="Book Antiqua" w:hAnsi="Book Antiqua"/>
          <w:i/>
          <w:szCs w:val="24"/>
        </w:rPr>
        <w:t xml:space="preserve"> </w:t>
      </w:r>
      <w:proofErr w:type="spellStart"/>
      <w:r w:rsidRPr="009B320C">
        <w:rPr>
          <w:rFonts w:ascii="Book Antiqua" w:hAnsi="Book Antiqua"/>
          <w:i/>
          <w:szCs w:val="24"/>
        </w:rPr>
        <w:t>placuit</w:t>
      </w:r>
      <w:proofErr w:type="spellEnd"/>
      <w:r w:rsidRPr="009B320C">
        <w:rPr>
          <w:rFonts w:ascii="Book Antiqua" w:hAnsi="Book Antiqua"/>
          <w:i/>
          <w:szCs w:val="24"/>
        </w:rPr>
        <w:t xml:space="preserve">, </w:t>
      </w:r>
      <w:proofErr w:type="spellStart"/>
      <w:r w:rsidRPr="009B320C">
        <w:rPr>
          <w:rFonts w:ascii="Book Antiqua" w:hAnsi="Book Antiqua"/>
          <w:i/>
          <w:szCs w:val="24"/>
        </w:rPr>
        <w:t>duobus</w:t>
      </w:r>
      <w:proofErr w:type="spellEnd"/>
      <w:r w:rsidRPr="009B320C">
        <w:rPr>
          <w:rFonts w:ascii="Book Antiqua" w:hAnsi="Book Antiqua"/>
          <w:i/>
          <w:szCs w:val="24"/>
        </w:rPr>
        <w:t xml:space="preserve"> </w:t>
      </w:r>
      <w:proofErr w:type="spellStart"/>
      <w:r w:rsidRPr="009B320C">
        <w:rPr>
          <w:rFonts w:ascii="Book Antiqua" w:hAnsi="Book Antiqua"/>
          <w:i/>
          <w:szCs w:val="24"/>
        </w:rPr>
        <w:t>locis</w:t>
      </w:r>
      <w:proofErr w:type="spellEnd"/>
      <w:r w:rsidRPr="009B320C">
        <w:rPr>
          <w:rFonts w:ascii="Book Antiqua" w:hAnsi="Book Antiqua"/>
          <w:i/>
          <w:szCs w:val="24"/>
        </w:rPr>
        <w:t xml:space="preserve"> </w:t>
      </w:r>
      <w:proofErr w:type="spellStart"/>
      <w:r w:rsidRPr="009B320C">
        <w:rPr>
          <w:rFonts w:ascii="Book Antiqua" w:hAnsi="Book Antiqua"/>
          <w:i/>
          <w:szCs w:val="24"/>
        </w:rPr>
        <w:t>posse</w:t>
      </w:r>
      <w:proofErr w:type="spellEnd"/>
      <w:r w:rsidRPr="009B320C">
        <w:rPr>
          <w:rFonts w:ascii="Book Antiqua" w:hAnsi="Book Antiqua"/>
          <w:i/>
          <w:szCs w:val="24"/>
        </w:rPr>
        <w:t xml:space="preserve"> </w:t>
      </w:r>
      <w:proofErr w:type="spellStart"/>
      <w:r w:rsidRPr="009B320C">
        <w:rPr>
          <w:rFonts w:ascii="Book Antiqua" w:hAnsi="Book Antiqua"/>
          <w:i/>
          <w:szCs w:val="24"/>
        </w:rPr>
        <w:t>aliquem</w:t>
      </w:r>
      <w:proofErr w:type="spellEnd"/>
      <w:r w:rsidRPr="009B320C">
        <w:rPr>
          <w:rFonts w:ascii="Book Antiqua" w:hAnsi="Book Antiqua"/>
          <w:i/>
          <w:szCs w:val="24"/>
        </w:rPr>
        <w:t xml:space="preserve"> </w:t>
      </w:r>
      <w:proofErr w:type="spellStart"/>
      <w:r w:rsidRPr="009B320C">
        <w:rPr>
          <w:rFonts w:ascii="Book Antiqua" w:hAnsi="Book Antiqua"/>
          <w:i/>
          <w:szCs w:val="24"/>
        </w:rPr>
        <w:t>habere</w:t>
      </w:r>
      <w:proofErr w:type="spellEnd"/>
      <w:r w:rsidRPr="009B320C">
        <w:rPr>
          <w:rFonts w:ascii="Book Antiqua" w:hAnsi="Book Antiqua"/>
          <w:i/>
          <w:szCs w:val="24"/>
        </w:rPr>
        <w:t xml:space="preserve"> </w:t>
      </w:r>
      <w:proofErr w:type="spellStart"/>
      <w:r w:rsidRPr="009B320C">
        <w:rPr>
          <w:rFonts w:ascii="Book Antiqua" w:hAnsi="Book Antiqua"/>
          <w:i/>
          <w:szCs w:val="24"/>
        </w:rPr>
        <w:t>domicilium</w:t>
      </w:r>
      <w:proofErr w:type="spellEnd"/>
      <w:r w:rsidRPr="009B320C">
        <w:rPr>
          <w:rFonts w:ascii="Book Antiqua" w:hAnsi="Book Antiqua"/>
          <w:i/>
          <w:szCs w:val="24"/>
        </w:rPr>
        <w:t xml:space="preserve">, si </w:t>
      </w:r>
      <w:proofErr w:type="spellStart"/>
      <w:r w:rsidRPr="009B320C">
        <w:rPr>
          <w:rFonts w:ascii="Book Antiqua" w:hAnsi="Book Antiqua"/>
          <w:i/>
          <w:szCs w:val="24"/>
        </w:rPr>
        <w:t>utrubique</w:t>
      </w:r>
      <w:proofErr w:type="spellEnd"/>
      <w:r w:rsidRPr="009B320C">
        <w:rPr>
          <w:rFonts w:ascii="Book Antiqua" w:hAnsi="Book Antiqua"/>
          <w:i/>
          <w:szCs w:val="24"/>
        </w:rPr>
        <w:t xml:space="preserve"> </w:t>
      </w:r>
      <w:proofErr w:type="spellStart"/>
      <w:r w:rsidRPr="009B320C">
        <w:rPr>
          <w:rFonts w:ascii="Book Antiqua" w:hAnsi="Book Antiqua"/>
          <w:i/>
          <w:szCs w:val="24"/>
        </w:rPr>
        <w:t>ita</w:t>
      </w:r>
      <w:proofErr w:type="spellEnd"/>
      <w:r w:rsidRPr="009B320C">
        <w:rPr>
          <w:rFonts w:ascii="Book Antiqua" w:hAnsi="Book Antiqua"/>
          <w:i/>
          <w:szCs w:val="24"/>
        </w:rPr>
        <w:t xml:space="preserve"> se </w:t>
      </w:r>
      <w:proofErr w:type="spellStart"/>
      <w:r w:rsidRPr="009B320C">
        <w:rPr>
          <w:rFonts w:ascii="Book Antiqua" w:hAnsi="Book Antiqua"/>
          <w:i/>
          <w:szCs w:val="24"/>
        </w:rPr>
        <w:t>instruxit</w:t>
      </w:r>
      <w:proofErr w:type="spellEnd"/>
      <w:r w:rsidRPr="009B320C">
        <w:rPr>
          <w:rFonts w:ascii="Book Antiqua" w:hAnsi="Book Antiqua"/>
          <w:i/>
          <w:szCs w:val="24"/>
        </w:rPr>
        <w:t xml:space="preserve">, ut non ideo </w:t>
      </w:r>
      <w:proofErr w:type="spellStart"/>
      <w:r w:rsidRPr="009B320C">
        <w:rPr>
          <w:rFonts w:ascii="Book Antiqua" w:hAnsi="Book Antiqua"/>
          <w:i/>
          <w:szCs w:val="24"/>
        </w:rPr>
        <w:t>minus</w:t>
      </w:r>
      <w:proofErr w:type="spellEnd"/>
      <w:r w:rsidRPr="009B320C">
        <w:rPr>
          <w:rFonts w:ascii="Book Antiqua" w:hAnsi="Book Antiqua"/>
          <w:i/>
          <w:szCs w:val="24"/>
        </w:rPr>
        <w:t xml:space="preserve"> apud alteros se </w:t>
      </w:r>
      <w:proofErr w:type="spellStart"/>
      <w:r w:rsidRPr="009B320C">
        <w:rPr>
          <w:rFonts w:ascii="Book Antiqua" w:hAnsi="Book Antiqua"/>
          <w:i/>
          <w:szCs w:val="24"/>
        </w:rPr>
        <w:t>collocasse</w:t>
      </w:r>
      <w:proofErr w:type="spellEnd"/>
      <w:r w:rsidRPr="009B320C">
        <w:rPr>
          <w:rFonts w:ascii="Book Antiqua" w:hAnsi="Book Antiqua"/>
          <w:i/>
          <w:szCs w:val="24"/>
        </w:rPr>
        <w:t xml:space="preserve"> </w:t>
      </w:r>
      <w:proofErr w:type="spellStart"/>
      <w:r w:rsidRPr="009B320C">
        <w:rPr>
          <w:rFonts w:ascii="Book Antiqua" w:hAnsi="Book Antiqua"/>
          <w:i/>
          <w:szCs w:val="24"/>
        </w:rPr>
        <w:t>videatur</w:t>
      </w:r>
      <w:proofErr w:type="spellEnd"/>
      <w:proofErr w:type="gramStart"/>
      <w:r w:rsidRPr="009B320C">
        <w:rPr>
          <w:rFonts w:ascii="Book Antiqua" w:hAnsi="Book Antiqua"/>
          <w:i/>
          <w:szCs w:val="24"/>
        </w:rPr>
        <w:t>. .</w:t>
      </w:r>
      <w:proofErr w:type="gramEnd"/>
      <w:r w:rsidRPr="001571D9">
        <w:rPr>
          <w:rFonts w:ascii="Book Antiqua" w:hAnsi="Book Antiqua"/>
          <w:i/>
          <w:szCs w:val="24"/>
        </w:rPr>
        <w:t xml:space="preserve"> </w:t>
      </w:r>
    </w:p>
  </w:footnote>
  <w:footnote w:id="27">
    <w:p w14:paraId="2609F7FE"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D14817">
        <w:rPr>
          <w:rFonts w:ascii="Book Antiqua" w:hAnsi="Book Antiqua"/>
          <w:i/>
          <w:szCs w:val="24"/>
        </w:rPr>
        <w:t>Gai,</w:t>
      </w:r>
      <w:r w:rsidRPr="00D14817">
        <w:rPr>
          <w:rFonts w:ascii="Book Antiqua" w:hAnsi="Book Antiqua"/>
          <w:szCs w:val="24"/>
        </w:rPr>
        <w:t>1</w:t>
      </w:r>
      <w:r w:rsidRPr="00D14817">
        <w:rPr>
          <w:rFonts w:ascii="Book Antiqua" w:hAnsi="Book Antiqua"/>
          <w:i/>
          <w:szCs w:val="24"/>
        </w:rPr>
        <w:t xml:space="preserve"> ed. prov</w:t>
      </w:r>
      <w:r w:rsidRPr="00D14817">
        <w:rPr>
          <w:rFonts w:ascii="Book Antiqua" w:hAnsi="Book Antiqua"/>
          <w:szCs w:val="24"/>
        </w:rPr>
        <w:t xml:space="preserve">. D.1,50.1.29. </w:t>
      </w:r>
      <w:r w:rsidRPr="001571D9">
        <w:rPr>
          <w:rFonts w:ascii="Book Antiqua" w:hAnsi="Book Antiqua"/>
          <w:szCs w:val="24"/>
        </w:rPr>
        <w:t xml:space="preserve">En D.50.1.27pr. se recoge el supuesto del que depende de dos municipios, por tener su antiguo amo tal condición, aunque tenga el liberto un solo domicilio. Los juristas crearon la </w:t>
      </w:r>
      <w:proofErr w:type="spellStart"/>
      <w:r w:rsidRPr="001571D9">
        <w:rPr>
          <w:rFonts w:ascii="Book Antiqua" w:hAnsi="Book Antiqua"/>
          <w:i/>
          <w:szCs w:val="24"/>
        </w:rPr>
        <w:t>actio</w:t>
      </w:r>
      <w:proofErr w:type="spellEnd"/>
      <w:r w:rsidRPr="001571D9">
        <w:rPr>
          <w:rFonts w:ascii="Book Antiqua" w:hAnsi="Book Antiqua"/>
          <w:i/>
          <w:szCs w:val="24"/>
        </w:rPr>
        <w:t xml:space="preserve"> </w:t>
      </w:r>
      <w:proofErr w:type="spellStart"/>
      <w:r w:rsidRPr="001571D9">
        <w:rPr>
          <w:rFonts w:ascii="Book Antiqua" w:hAnsi="Book Antiqua"/>
          <w:i/>
          <w:szCs w:val="24"/>
        </w:rPr>
        <w:t>quod</w:t>
      </w:r>
      <w:proofErr w:type="spellEnd"/>
      <w:r w:rsidRPr="001571D9">
        <w:rPr>
          <w:rFonts w:ascii="Book Antiqua" w:hAnsi="Book Antiqua"/>
          <w:i/>
          <w:szCs w:val="24"/>
        </w:rPr>
        <w:t xml:space="preserve"> </w:t>
      </w:r>
      <w:proofErr w:type="spellStart"/>
      <w:r w:rsidRPr="001571D9">
        <w:rPr>
          <w:rFonts w:ascii="Book Antiqua" w:hAnsi="Book Antiqua"/>
          <w:i/>
          <w:szCs w:val="24"/>
        </w:rPr>
        <w:t>certo</w:t>
      </w:r>
      <w:proofErr w:type="spellEnd"/>
      <w:r w:rsidRPr="001571D9">
        <w:rPr>
          <w:rFonts w:ascii="Book Antiqua" w:hAnsi="Book Antiqua"/>
          <w:i/>
          <w:szCs w:val="24"/>
        </w:rPr>
        <w:t xml:space="preserve"> loco </w:t>
      </w:r>
      <w:proofErr w:type="spellStart"/>
      <w:r w:rsidRPr="001571D9">
        <w:rPr>
          <w:rFonts w:ascii="Book Antiqua" w:hAnsi="Book Antiqua"/>
          <w:i/>
          <w:szCs w:val="24"/>
        </w:rPr>
        <w:t>dari</w:t>
      </w:r>
      <w:proofErr w:type="spellEnd"/>
      <w:r w:rsidRPr="001571D9">
        <w:rPr>
          <w:rFonts w:ascii="Book Antiqua" w:hAnsi="Book Antiqua"/>
          <w:i/>
          <w:szCs w:val="24"/>
        </w:rPr>
        <w:t xml:space="preserve"> </w:t>
      </w:r>
      <w:proofErr w:type="spellStart"/>
      <w:r w:rsidRPr="001571D9">
        <w:rPr>
          <w:rFonts w:ascii="Book Antiqua" w:hAnsi="Book Antiqua"/>
          <w:i/>
          <w:szCs w:val="24"/>
        </w:rPr>
        <w:t>oportet</w:t>
      </w:r>
      <w:proofErr w:type="spellEnd"/>
      <w:r w:rsidRPr="001571D9">
        <w:rPr>
          <w:rFonts w:ascii="Book Antiqua" w:hAnsi="Book Antiqua"/>
          <w:szCs w:val="24"/>
        </w:rPr>
        <w:t xml:space="preserve"> para el supuesto del deudor que cambiaba dolosamente de domicilio para que el demandante incurriese en </w:t>
      </w:r>
      <w:proofErr w:type="spellStart"/>
      <w:r w:rsidRPr="001571D9">
        <w:rPr>
          <w:rFonts w:ascii="Book Antiqua" w:hAnsi="Book Antiqua"/>
          <w:i/>
          <w:szCs w:val="24"/>
        </w:rPr>
        <w:t>plurispetitio</w:t>
      </w:r>
      <w:proofErr w:type="spellEnd"/>
      <w:r w:rsidRPr="001571D9">
        <w:rPr>
          <w:rFonts w:ascii="Book Antiqua" w:hAnsi="Book Antiqua"/>
          <w:i/>
          <w:szCs w:val="24"/>
        </w:rPr>
        <w:t xml:space="preserve"> loco</w:t>
      </w:r>
      <w:r w:rsidRPr="001571D9">
        <w:rPr>
          <w:rFonts w:ascii="Book Antiqua" w:hAnsi="Book Antiqua"/>
          <w:szCs w:val="24"/>
        </w:rPr>
        <w:t xml:space="preserve">. En este caso se podía demandar tanto en el lugar donde se contrató como en </w:t>
      </w:r>
      <w:proofErr w:type="gramStart"/>
      <w:r w:rsidRPr="001571D9">
        <w:rPr>
          <w:rFonts w:ascii="Book Antiqua" w:hAnsi="Book Antiqua"/>
          <w:szCs w:val="24"/>
        </w:rPr>
        <w:t>el  lugar</w:t>
      </w:r>
      <w:proofErr w:type="gramEnd"/>
      <w:r w:rsidRPr="001571D9">
        <w:rPr>
          <w:rFonts w:ascii="Book Antiqua" w:hAnsi="Book Antiqua"/>
          <w:szCs w:val="24"/>
        </w:rPr>
        <w:t xml:space="preserve"> donde residiese en ese momento. Vid. </w:t>
      </w:r>
      <w:proofErr w:type="spellStart"/>
      <w:r w:rsidRPr="001071AF">
        <w:rPr>
          <w:rFonts w:ascii="Book Antiqua" w:hAnsi="Book Antiqua"/>
          <w:i/>
          <w:szCs w:val="24"/>
        </w:rPr>
        <w:t>Gai</w:t>
      </w:r>
      <w:proofErr w:type="spellEnd"/>
      <w:r w:rsidRPr="001571D9">
        <w:rPr>
          <w:rFonts w:ascii="Book Antiqua" w:hAnsi="Book Antiqua"/>
          <w:i/>
          <w:szCs w:val="24"/>
        </w:rPr>
        <w:t xml:space="preserve"> </w:t>
      </w:r>
      <w:r w:rsidRPr="001571D9">
        <w:rPr>
          <w:rFonts w:ascii="Book Antiqua" w:hAnsi="Book Antiqua"/>
          <w:szCs w:val="24"/>
        </w:rPr>
        <w:t>9</w:t>
      </w:r>
      <w:r w:rsidRPr="001571D9">
        <w:rPr>
          <w:rFonts w:ascii="Book Antiqua" w:hAnsi="Book Antiqua"/>
          <w:i/>
          <w:szCs w:val="24"/>
        </w:rPr>
        <w:t xml:space="preserve"> ed. prov</w:t>
      </w:r>
      <w:r w:rsidRPr="001571D9">
        <w:rPr>
          <w:rFonts w:ascii="Book Antiqua" w:hAnsi="Book Antiqua"/>
          <w:szCs w:val="24"/>
        </w:rPr>
        <w:t xml:space="preserve">. D.13.4.1 y C.3.19.18 </w:t>
      </w:r>
      <w:r w:rsidRPr="001571D9">
        <w:rPr>
          <w:rFonts w:ascii="Book Antiqua" w:hAnsi="Book Antiqua"/>
          <w:i/>
          <w:szCs w:val="24"/>
        </w:rPr>
        <w:t>(Alex</w:t>
      </w:r>
      <w:r>
        <w:rPr>
          <w:rFonts w:ascii="Book Antiqua" w:hAnsi="Book Antiqua"/>
          <w:i/>
          <w:szCs w:val="24"/>
        </w:rPr>
        <w:t>.</w:t>
      </w:r>
      <w:r w:rsidRPr="001571D9">
        <w:rPr>
          <w:rFonts w:ascii="Book Antiqua" w:hAnsi="Book Antiqua"/>
          <w:szCs w:val="24"/>
        </w:rPr>
        <w:t xml:space="preserve"> 225).</w:t>
      </w:r>
    </w:p>
  </w:footnote>
  <w:footnote w:id="28">
    <w:p w14:paraId="677B8A10" w14:textId="77777777" w:rsidR="004A00AB" w:rsidRPr="001571D9" w:rsidRDefault="004A00AB" w:rsidP="004A00AB">
      <w:pPr>
        <w:pStyle w:val="Textonotapie"/>
        <w:spacing w:line="360" w:lineRule="auto"/>
        <w:rPr>
          <w:rFonts w:ascii="Book Antiqua" w:hAnsi="Book Antiqua"/>
          <w:i/>
          <w:szCs w:val="24"/>
        </w:rPr>
      </w:pPr>
      <w:r w:rsidRPr="001571D9">
        <w:rPr>
          <w:rStyle w:val="Refdenotaalpie"/>
          <w:rFonts w:ascii="Book Antiqua" w:hAnsi="Book Antiqua"/>
          <w:szCs w:val="24"/>
        </w:rPr>
        <w:footnoteRef/>
      </w:r>
      <w:r w:rsidRPr="001571D9">
        <w:rPr>
          <w:rFonts w:ascii="Book Antiqua" w:hAnsi="Book Antiqua"/>
          <w:szCs w:val="24"/>
        </w:rPr>
        <w:t xml:space="preserve"> C. 10.40(39).2</w:t>
      </w:r>
      <w:r w:rsidRPr="001571D9">
        <w:rPr>
          <w:rFonts w:ascii="Book Antiqua" w:hAnsi="Book Antiqua"/>
          <w:i/>
          <w:szCs w:val="24"/>
        </w:rPr>
        <w:t xml:space="preserve">: </w:t>
      </w:r>
      <w:proofErr w:type="spellStart"/>
      <w:r w:rsidRPr="001571D9">
        <w:rPr>
          <w:rFonts w:ascii="Book Antiqua" w:hAnsi="Book Antiqua"/>
          <w:i/>
          <w:szCs w:val="24"/>
        </w:rPr>
        <w:t>Nec</w:t>
      </w:r>
      <w:proofErr w:type="spellEnd"/>
      <w:r w:rsidRPr="001571D9">
        <w:rPr>
          <w:rFonts w:ascii="Book Antiqua" w:hAnsi="Book Antiqua"/>
          <w:i/>
          <w:szCs w:val="24"/>
        </w:rPr>
        <w:t xml:space="preserve"> ipsi, qui </w:t>
      </w:r>
      <w:proofErr w:type="spellStart"/>
      <w:r w:rsidRPr="001571D9">
        <w:rPr>
          <w:rFonts w:ascii="Book Antiqua" w:hAnsi="Book Antiqua"/>
          <w:i/>
          <w:szCs w:val="24"/>
        </w:rPr>
        <w:t>studiorum</w:t>
      </w:r>
      <w:proofErr w:type="spellEnd"/>
      <w:r w:rsidRPr="001571D9">
        <w:rPr>
          <w:rFonts w:ascii="Book Antiqua" w:hAnsi="Book Antiqua"/>
          <w:i/>
          <w:szCs w:val="24"/>
        </w:rPr>
        <w:t xml:space="preserve"> causa </w:t>
      </w:r>
      <w:proofErr w:type="spellStart"/>
      <w:r w:rsidRPr="001571D9">
        <w:rPr>
          <w:rFonts w:ascii="Book Antiqua" w:hAnsi="Book Antiqua"/>
          <w:i/>
          <w:szCs w:val="24"/>
        </w:rPr>
        <w:t>aliquo</w:t>
      </w:r>
      <w:proofErr w:type="spellEnd"/>
      <w:r w:rsidRPr="001571D9">
        <w:rPr>
          <w:rFonts w:ascii="Book Antiqua" w:hAnsi="Book Antiqua"/>
          <w:i/>
          <w:szCs w:val="24"/>
        </w:rPr>
        <w:t xml:space="preserve"> loci </w:t>
      </w:r>
      <w:proofErr w:type="spellStart"/>
      <w:r w:rsidRPr="001571D9">
        <w:rPr>
          <w:rFonts w:ascii="Book Antiqua" w:hAnsi="Book Antiqua"/>
          <w:i/>
          <w:szCs w:val="24"/>
        </w:rPr>
        <w:t>morantur</w:t>
      </w:r>
      <w:proofErr w:type="spellEnd"/>
      <w:r w:rsidRPr="001571D9">
        <w:rPr>
          <w:rFonts w:ascii="Book Antiqua" w:hAnsi="Book Antiqua"/>
          <w:i/>
          <w:szCs w:val="24"/>
        </w:rPr>
        <w:t xml:space="preserve">, </w:t>
      </w:r>
      <w:proofErr w:type="spellStart"/>
      <w:r w:rsidRPr="001571D9">
        <w:rPr>
          <w:rFonts w:ascii="Book Antiqua" w:hAnsi="Book Antiqua"/>
          <w:i/>
          <w:szCs w:val="24"/>
        </w:rPr>
        <w:t>domicilium</w:t>
      </w:r>
      <w:proofErr w:type="spellEnd"/>
      <w:r w:rsidRPr="001571D9">
        <w:rPr>
          <w:rFonts w:ascii="Book Antiqua" w:hAnsi="Book Antiqua"/>
          <w:i/>
          <w:szCs w:val="24"/>
        </w:rPr>
        <w:t xml:space="preserve"> </w:t>
      </w:r>
      <w:proofErr w:type="spellStart"/>
      <w:r w:rsidRPr="001571D9">
        <w:rPr>
          <w:rFonts w:ascii="Book Antiqua" w:hAnsi="Book Antiqua"/>
          <w:i/>
          <w:szCs w:val="24"/>
        </w:rPr>
        <w:t>ibi</w:t>
      </w:r>
      <w:proofErr w:type="spellEnd"/>
      <w:r w:rsidRPr="001571D9">
        <w:rPr>
          <w:rFonts w:ascii="Book Antiqua" w:hAnsi="Book Antiqua"/>
          <w:i/>
          <w:szCs w:val="24"/>
        </w:rPr>
        <w:t xml:space="preserve"> haber </w:t>
      </w:r>
      <w:proofErr w:type="spellStart"/>
      <w:r w:rsidRPr="001571D9">
        <w:rPr>
          <w:rFonts w:ascii="Book Antiqua" w:hAnsi="Book Antiqua"/>
          <w:i/>
          <w:szCs w:val="24"/>
        </w:rPr>
        <w:t>crduntur</w:t>
      </w:r>
      <w:proofErr w:type="spellEnd"/>
      <w:r w:rsidRPr="001571D9">
        <w:rPr>
          <w:rFonts w:ascii="Book Antiqua" w:hAnsi="Book Antiqua"/>
          <w:i/>
          <w:szCs w:val="24"/>
        </w:rPr>
        <w:t xml:space="preserve">, </w:t>
      </w:r>
      <w:proofErr w:type="spellStart"/>
      <w:r w:rsidRPr="001571D9">
        <w:rPr>
          <w:rFonts w:ascii="Book Antiqua" w:hAnsi="Book Antiqua"/>
          <w:i/>
          <w:szCs w:val="24"/>
        </w:rPr>
        <w:t>nisi</w:t>
      </w:r>
      <w:proofErr w:type="spellEnd"/>
      <w:r w:rsidRPr="001571D9">
        <w:rPr>
          <w:rFonts w:ascii="Book Antiqua" w:hAnsi="Book Antiqua"/>
          <w:i/>
          <w:szCs w:val="24"/>
        </w:rPr>
        <w:t xml:space="preserve"> </w:t>
      </w:r>
      <w:proofErr w:type="spellStart"/>
      <w:r w:rsidRPr="001571D9">
        <w:rPr>
          <w:rFonts w:ascii="Book Antiqua" w:hAnsi="Book Antiqua"/>
          <w:i/>
          <w:szCs w:val="24"/>
        </w:rPr>
        <w:t>decem</w:t>
      </w:r>
      <w:proofErr w:type="spellEnd"/>
      <w:r w:rsidRPr="001571D9">
        <w:rPr>
          <w:rFonts w:ascii="Book Antiqua" w:hAnsi="Book Antiqua"/>
          <w:i/>
          <w:szCs w:val="24"/>
        </w:rPr>
        <w:t xml:space="preserve"> </w:t>
      </w:r>
      <w:proofErr w:type="spellStart"/>
      <w:r w:rsidRPr="001571D9">
        <w:rPr>
          <w:rFonts w:ascii="Book Antiqua" w:hAnsi="Book Antiqua"/>
          <w:i/>
          <w:szCs w:val="24"/>
        </w:rPr>
        <w:t>annis</w:t>
      </w:r>
      <w:proofErr w:type="spellEnd"/>
      <w:r w:rsidRPr="001571D9">
        <w:rPr>
          <w:rFonts w:ascii="Book Antiqua" w:hAnsi="Book Antiqua"/>
          <w:i/>
          <w:szCs w:val="24"/>
        </w:rPr>
        <w:t xml:space="preserve"> </w:t>
      </w:r>
      <w:proofErr w:type="spellStart"/>
      <w:r w:rsidRPr="001571D9">
        <w:rPr>
          <w:rFonts w:ascii="Book Antiqua" w:hAnsi="Book Antiqua"/>
          <w:i/>
          <w:szCs w:val="24"/>
        </w:rPr>
        <w:t>transactis</w:t>
      </w:r>
      <w:proofErr w:type="spellEnd"/>
      <w:r w:rsidRPr="001571D9">
        <w:rPr>
          <w:rFonts w:ascii="Book Antiqua" w:hAnsi="Book Antiqua"/>
          <w:i/>
          <w:szCs w:val="24"/>
        </w:rPr>
        <w:t xml:space="preserve"> </w:t>
      </w:r>
      <w:proofErr w:type="spellStart"/>
      <w:r w:rsidRPr="001571D9">
        <w:rPr>
          <w:rFonts w:ascii="Book Antiqua" w:hAnsi="Book Antiqua"/>
          <w:i/>
          <w:szCs w:val="24"/>
        </w:rPr>
        <w:t>eo</w:t>
      </w:r>
      <w:proofErr w:type="spellEnd"/>
      <w:r w:rsidRPr="001571D9">
        <w:rPr>
          <w:rFonts w:ascii="Book Antiqua" w:hAnsi="Book Antiqua"/>
          <w:i/>
          <w:szCs w:val="24"/>
        </w:rPr>
        <w:t xml:space="preserve"> loci sedes </w:t>
      </w:r>
      <w:proofErr w:type="spellStart"/>
      <w:r w:rsidRPr="001571D9">
        <w:rPr>
          <w:rFonts w:ascii="Book Antiqua" w:hAnsi="Book Antiqua"/>
          <w:i/>
          <w:szCs w:val="24"/>
        </w:rPr>
        <w:t>sibi</w:t>
      </w:r>
      <w:proofErr w:type="spellEnd"/>
      <w:r w:rsidRPr="001571D9">
        <w:rPr>
          <w:rFonts w:ascii="Book Antiqua" w:hAnsi="Book Antiqua"/>
          <w:i/>
          <w:szCs w:val="24"/>
        </w:rPr>
        <w:t xml:space="preserve"> </w:t>
      </w:r>
      <w:proofErr w:type="spellStart"/>
      <w:r w:rsidRPr="001571D9">
        <w:rPr>
          <w:rFonts w:ascii="Book Antiqua" w:hAnsi="Book Antiqua"/>
          <w:i/>
          <w:szCs w:val="24"/>
        </w:rPr>
        <w:t>constituerunt</w:t>
      </w:r>
      <w:proofErr w:type="spellEnd"/>
      <w:r w:rsidRPr="001571D9">
        <w:rPr>
          <w:rFonts w:ascii="Book Antiqua" w:hAnsi="Book Antiqua"/>
          <w:i/>
          <w:szCs w:val="24"/>
        </w:rPr>
        <w:t xml:space="preserve">, </w:t>
      </w:r>
      <w:proofErr w:type="spellStart"/>
      <w:r w:rsidRPr="001571D9">
        <w:rPr>
          <w:rFonts w:ascii="Book Antiqua" w:hAnsi="Book Antiqua"/>
          <w:i/>
          <w:szCs w:val="24"/>
        </w:rPr>
        <w:t>secundum</w:t>
      </w:r>
      <w:proofErr w:type="spellEnd"/>
      <w:r w:rsidRPr="001571D9">
        <w:rPr>
          <w:rFonts w:ascii="Book Antiqua" w:hAnsi="Book Antiqua"/>
          <w:i/>
          <w:szCs w:val="24"/>
        </w:rPr>
        <w:t xml:space="preserve"> </w:t>
      </w:r>
      <w:proofErr w:type="spellStart"/>
      <w:r w:rsidRPr="001571D9">
        <w:rPr>
          <w:rFonts w:ascii="Book Antiqua" w:hAnsi="Book Antiqua"/>
          <w:i/>
          <w:szCs w:val="24"/>
        </w:rPr>
        <w:t>epistulam</w:t>
      </w:r>
      <w:proofErr w:type="spellEnd"/>
      <w:r w:rsidRPr="001571D9">
        <w:rPr>
          <w:rFonts w:ascii="Book Antiqua" w:hAnsi="Book Antiqua"/>
          <w:i/>
          <w:szCs w:val="24"/>
        </w:rPr>
        <w:t xml:space="preserve"> </w:t>
      </w:r>
      <w:proofErr w:type="spellStart"/>
      <w:r w:rsidRPr="001571D9">
        <w:rPr>
          <w:rFonts w:ascii="Book Antiqua" w:hAnsi="Book Antiqua"/>
          <w:i/>
          <w:szCs w:val="24"/>
        </w:rPr>
        <w:t>divi</w:t>
      </w:r>
      <w:proofErr w:type="spellEnd"/>
      <w:r w:rsidRPr="001571D9">
        <w:rPr>
          <w:rFonts w:ascii="Book Antiqua" w:hAnsi="Book Antiqua"/>
          <w:i/>
          <w:szCs w:val="24"/>
        </w:rPr>
        <w:t xml:space="preserve"> </w:t>
      </w:r>
      <w:proofErr w:type="spellStart"/>
      <w:r w:rsidRPr="001571D9">
        <w:rPr>
          <w:rFonts w:ascii="Book Antiqua" w:hAnsi="Book Antiqua"/>
          <w:i/>
          <w:szCs w:val="24"/>
        </w:rPr>
        <w:t>Hadriani</w:t>
      </w:r>
      <w:proofErr w:type="spellEnd"/>
      <w:r w:rsidRPr="001571D9">
        <w:rPr>
          <w:rFonts w:ascii="Book Antiqua" w:hAnsi="Book Antiqua"/>
          <w:i/>
          <w:szCs w:val="24"/>
        </w:rPr>
        <w:t xml:space="preserve">, </w:t>
      </w:r>
      <w:proofErr w:type="spellStart"/>
      <w:r w:rsidRPr="001571D9">
        <w:rPr>
          <w:rFonts w:ascii="Book Antiqua" w:hAnsi="Book Antiqua"/>
          <w:i/>
          <w:szCs w:val="24"/>
        </w:rPr>
        <w:t>nec</w:t>
      </w:r>
      <w:proofErr w:type="spellEnd"/>
      <w:r w:rsidRPr="001571D9">
        <w:rPr>
          <w:rFonts w:ascii="Book Antiqua" w:hAnsi="Book Antiqua"/>
          <w:i/>
          <w:szCs w:val="24"/>
        </w:rPr>
        <w:t xml:space="preserve"> </w:t>
      </w:r>
      <w:proofErr w:type="gramStart"/>
      <w:r w:rsidRPr="001571D9">
        <w:rPr>
          <w:rFonts w:ascii="Book Antiqua" w:hAnsi="Book Antiqua"/>
          <w:i/>
          <w:szCs w:val="24"/>
        </w:rPr>
        <w:t>pater..</w:t>
      </w:r>
      <w:proofErr w:type="gramEnd"/>
      <w:r w:rsidRPr="001571D9">
        <w:rPr>
          <w:rFonts w:ascii="Book Antiqua" w:hAnsi="Book Antiqua"/>
          <w:i/>
          <w:szCs w:val="24"/>
        </w:rPr>
        <w:t xml:space="preserve"> .</w:t>
      </w:r>
    </w:p>
  </w:footnote>
  <w:footnote w:id="29">
    <w:p w14:paraId="096C69E6" w14:textId="77777777" w:rsidR="004A00AB" w:rsidRPr="001571D9" w:rsidRDefault="004A00AB" w:rsidP="004A00AB">
      <w:pPr>
        <w:pStyle w:val="Textonotapie"/>
        <w:spacing w:line="360" w:lineRule="auto"/>
        <w:rPr>
          <w:rFonts w:ascii="Book Antiqua" w:hAnsi="Book Antiqua"/>
          <w:i/>
          <w:szCs w:val="24"/>
          <w:lang w:val="en-US"/>
        </w:rPr>
      </w:pPr>
      <w:r w:rsidRPr="001571D9">
        <w:rPr>
          <w:rStyle w:val="Refdenotaalpie"/>
          <w:rFonts w:ascii="Book Antiqua" w:hAnsi="Book Antiqua"/>
          <w:szCs w:val="24"/>
        </w:rPr>
        <w:footnoteRef/>
      </w:r>
      <w:r w:rsidRPr="001571D9">
        <w:rPr>
          <w:rFonts w:ascii="Book Antiqua" w:hAnsi="Book Antiqua"/>
          <w:szCs w:val="24"/>
          <w:lang w:val="en-US"/>
        </w:rPr>
        <w:t xml:space="preserve"> C.3.13.7 (</w:t>
      </w:r>
      <w:proofErr w:type="spellStart"/>
      <w:r w:rsidRPr="001571D9">
        <w:rPr>
          <w:rFonts w:ascii="Book Antiqua" w:hAnsi="Book Antiqua"/>
          <w:i/>
          <w:szCs w:val="24"/>
          <w:lang w:val="en-US"/>
        </w:rPr>
        <w:t>Anast</w:t>
      </w:r>
      <w:proofErr w:type="spellEnd"/>
      <w:r w:rsidRPr="001571D9">
        <w:rPr>
          <w:rFonts w:ascii="Book Antiqua" w:hAnsi="Book Antiqua"/>
          <w:i/>
          <w:szCs w:val="24"/>
          <w:lang w:val="en-US"/>
        </w:rPr>
        <w:t>.</w:t>
      </w:r>
      <w:proofErr w:type="gramStart"/>
      <w:r w:rsidRPr="001571D9">
        <w:rPr>
          <w:rFonts w:ascii="Book Antiqua" w:hAnsi="Book Antiqua"/>
          <w:i/>
          <w:szCs w:val="24"/>
          <w:lang w:val="en-US"/>
        </w:rPr>
        <w:t>):</w:t>
      </w:r>
      <w:proofErr w:type="spellStart"/>
      <w:r w:rsidRPr="001571D9">
        <w:rPr>
          <w:rFonts w:ascii="Book Antiqua" w:hAnsi="Book Antiqua"/>
          <w:i/>
          <w:szCs w:val="24"/>
          <w:lang w:val="en-US"/>
        </w:rPr>
        <w:t>Periniquum</w:t>
      </w:r>
      <w:proofErr w:type="spellEnd"/>
      <w:proofErr w:type="gramEnd"/>
      <w:r w:rsidRPr="001571D9">
        <w:rPr>
          <w:rFonts w:ascii="Book Antiqua" w:hAnsi="Book Antiqua"/>
          <w:i/>
          <w:szCs w:val="24"/>
          <w:lang w:val="en-US"/>
        </w:rPr>
        <w:t xml:space="preserve"> et </w:t>
      </w:r>
      <w:proofErr w:type="spellStart"/>
      <w:r w:rsidRPr="001571D9">
        <w:rPr>
          <w:rFonts w:ascii="Book Antiqua" w:hAnsi="Book Antiqua"/>
          <w:i/>
          <w:szCs w:val="24"/>
          <w:lang w:val="en-US"/>
        </w:rPr>
        <w:t>temerarium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esse</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perspicimus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eos</w:t>
      </w:r>
      <w:proofErr w:type="spellEnd"/>
      <w:r w:rsidRPr="001571D9">
        <w:rPr>
          <w:rFonts w:ascii="Book Antiqua" w:hAnsi="Book Antiqua"/>
          <w:i/>
          <w:szCs w:val="24"/>
          <w:lang w:val="en-US"/>
        </w:rPr>
        <w:t xml:space="preserve">, qui </w:t>
      </w:r>
      <w:proofErr w:type="spellStart"/>
      <w:r w:rsidRPr="001571D9">
        <w:rPr>
          <w:rFonts w:ascii="Book Antiqua" w:hAnsi="Book Antiqua"/>
          <w:i/>
          <w:szCs w:val="24"/>
          <w:lang w:val="en-US"/>
        </w:rPr>
        <w:t>professiones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aliquas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seu</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negotiationes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exercere</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noscuntur</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iudicium</w:t>
      </w:r>
      <w:proofErr w:type="spellEnd"/>
      <w:r w:rsidRPr="001571D9">
        <w:rPr>
          <w:rFonts w:ascii="Book Antiqua" w:hAnsi="Book Antiqua"/>
          <w:i/>
          <w:szCs w:val="24"/>
          <w:lang w:val="en-US"/>
        </w:rPr>
        <w:t xml:space="preserve">, ad quos </w:t>
      </w:r>
      <w:proofErr w:type="spellStart"/>
      <w:r w:rsidRPr="001571D9">
        <w:rPr>
          <w:rFonts w:ascii="Book Antiqua" w:hAnsi="Book Antiqua"/>
          <w:i/>
          <w:szCs w:val="24"/>
          <w:lang w:val="en-US"/>
        </w:rPr>
        <w:t>earumdem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professionum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seu</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negotiationum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cura</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pertinet</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iurisdictionem</w:t>
      </w:r>
      <w:proofErr w:type="spellEnd"/>
      <w:r w:rsidRPr="001571D9">
        <w:rPr>
          <w:rFonts w:ascii="Book Antiqua" w:hAnsi="Book Antiqua"/>
          <w:i/>
          <w:szCs w:val="24"/>
          <w:lang w:val="en-US"/>
        </w:rPr>
        <w:t xml:space="preserve"> et </w:t>
      </w:r>
      <w:proofErr w:type="spellStart"/>
      <w:r w:rsidRPr="001571D9">
        <w:rPr>
          <w:rFonts w:ascii="Book Antiqua" w:hAnsi="Book Antiqua"/>
          <w:i/>
          <w:szCs w:val="24"/>
          <w:lang w:val="en-US"/>
        </w:rPr>
        <w:t>praeceptiones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declinari</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conari</w:t>
      </w:r>
      <w:proofErr w:type="spellEnd"/>
      <w:r w:rsidRPr="001571D9">
        <w:rPr>
          <w:rFonts w:ascii="Book Antiqua" w:hAnsi="Book Antiqua"/>
          <w:i/>
          <w:szCs w:val="24"/>
          <w:lang w:val="en-US"/>
        </w:rPr>
        <w:t xml:space="preserve"> ..sine  </w:t>
      </w:r>
      <w:proofErr w:type="spellStart"/>
      <w:r w:rsidRPr="001571D9">
        <w:rPr>
          <w:rFonts w:ascii="Book Antiqua" w:hAnsi="Book Antiqua"/>
          <w:i/>
          <w:szCs w:val="24"/>
          <w:lang w:val="en-US"/>
        </w:rPr>
        <w:t>quadam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fori</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praescriptione</w:t>
      </w:r>
      <w:proofErr w:type="spellEnd"/>
      <w:r w:rsidRPr="001571D9">
        <w:rPr>
          <w:rFonts w:ascii="Book Antiqua" w:hAnsi="Book Antiqua"/>
          <w:i/>
          <w:szCs w:val="24"/>
          <w:lang w:val="en-US"/>
        </w:rPr>
        <w:t xml:space="preserve"> his </w:t>
      </w:r>
      <w:proofErr w:type="spellStart"/>
      <w:r w:rsidRPr="001571D9">
        <w:rPr>
          <w:rFonts w:ascii="Book Antiqua" w:hAnsi="Book Antiqua"/>
          <w:i/>
          <w:szCs w:val="24"/>
          <w:lang w:val="en-US"/>
        </w:rPr>
        <w:t>iudicisbus</w:t>
      </w:r>
      <w:proofErr w:type="spellEnd"/>
      <w:r w:rsidRPr="001571D9">
        <w:rPr>
          <w:rFonts w:ascii="Book Antiqua" w:hAnsi="Book Antiqua"/>
          <w:i/>
          <w:szCs w:val="24"/>
          <w:lang w:val="en-US"/>
        </w:rPr>
        <w:t xml:space="preserve"> tam </w:t>
      </w:r>
      <w:proofErr w:type="spellStart"/>
      <w:r w:rsidRPr="001571D9">
        <w:rPr>
          <w:rFonts w:ascii="Book Antiqua" w:hAnsi="Book Antiqua"/>
          <w:i/>
          <w:szCs w:val="24"/>
          <w:lang w:val="en-US"/>
        </w:rPr>
        <w:t>publicis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quam</w:t>
      </w:r>
      <w:proofErr w:type="spellEnd"/>
      <w:r w:rsidRPr="001571D9">
        <w:rPr>
          <w:rFonts w:ascii="Book Antiqua" w:hAnsi="Book Antiqua"/>
          <w:i/>
          <w:szCs w:val="24"/>
          <w:lang w:val="en-US"/>
        </w:rPr>
        <w:t xml:space="preserve"> in </w:t>
      </w:r>
      <w:proofErr w:type="spellStart"/>
      <w:r w:rsidRPr="001571D9">
        <w:rPr>
          <w:rFonts w:ascii="Book Antiqua" w:hAnsi="Book Antiqua"/>
          <w:i/>
          <w:szCs w:val="24"/>
          <w:lang w:val="en-US"/>
        </w:rPr>
        <w:t>privatis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causis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obedire</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compelli</w:t>
      </w:r>
      <w:proofErr w:type="spellEnd"/>
      <w:r w:rsidRPr="001571D9">
        <w:rPr>
          <w:rFonts w:ascii="Book Antiqua" w:hAnsi="Book Antiqua" w:cs="Arial"/>
          <w:i/>
          <w:szCs w:val="24"/>
          <w:lang w:val="en-US"/>
        </w:rPr>
        <w:t>... .</w:t>
      </w:r>
    </w:p>
  </w:footnote>
  <w:footnote w:id="30">
    <w:p w14:paraId="1F27471E"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lang w:val="en-US"/>
        </w:rPr>
        <w:t xml:space="preserve"> C. 10.40 (39).7 (</w:t>
      </w:r>
      <w:proofErr w:type="spellStart"/>
      <w:r w:rsidRPr="001571D9">
        <w:rPr>
          <w:rFonts w:ascii="Book Antiqua" w:hAnsi="Book Antiqua"/>
          <w:i/>
          <w:szCs w:val="24"/>
          <w:lang w:val="en-US"/>
        </w:rPr>
        <w:t>Dioc</w:t>
      </w:r>
      <w:proofErr w:type="spellEnd"/>
      <w:r w:rsidRPr="001571D9">
        <w:rPr>
          <w:rFonts w:ascii="Book Antiqua" w:hAnsi="Book Antiqua"/>
          <w:i/>
          <w:szCs w:val="24"/>
          <w:lang w:val="en-US"/>
        </w:rPr>
        <w:t xml:space="preserve">. Max): Et in </w:t>
      </w:r>
      <w:proofErr w:type="spellStart"/>
      <w:r w:rsidRPr="001571D9">
        <w:rPr>
          <w:rFonts w:ascii="Book Antiqua" w:hAnsi="Book Antiqua"/>
          <w:i/>
          <w:szCs w:val="24"/>
          <w:lang w:val="en-US"/>
        </w:rPr>
        <w:t>eodem</w:t>
      </w:r>
      <w:proofErr w:type="spellEnd"/>
      <w:r w:rsidRPr="001571D9">
        <w:rPr>
          <w:rFonts w:ascii="Book Antiqua" w:hAnsi="Book Antiqua"/>
          <w:i/>
          <w:szCs w:val="24"/>
          <w:lang w:val="en-US"/>
        </w:rPr>
        <w:t xml:space="preserve"> loco </w:t>
      </w:r>
      <w:proofErr w:type="spellStart"/>
      <w:r w:rsidRPr="001571D9">
        <w:rPr>
          <w:rFonts w:ascii="Book Antiqua" w:hAnsi="Book Antiqua"/>
          <w:i/>
          <w:szCs w:val="24"/>
          <w:lang w:val="en-US"/>
        </w:rPr>
        <w:t>singulos</w:t>
      </w:r>
      <w:proofErr w:type="spellEnd"/>
      <w:r w:rsidRPr="001571D9">
        <w:rPr>
          <w:rFonts w:ascii="Book Antiqua" w:hAnsi="Book Antiqua"/>
          <w:i/>
          <w:szCs w:val="24"/>
          <w:lang w:val="en-US"/>
        </w:rPr>
        <w:t xml:space="preserve"> habere </w:t>
      </w:r>
      <w:proofErr w:type="spellStart"/>
      <w:r w:rsidRPr="001571D9">
        <w:rPr>
          <w:rFonts w:ascii="Book Antiqua" w:hAnsi="Book Antiqua"/>
          <w:i/>
          <w:szCs w:val="24"/>
          <w:lang w:val="en-US"/>
        </w:rPr>
        <w:t>domicilum</w:t>
      </w:r>
      <w:proofErr w:type="spellEnd"/>
      <w:r w:rsidRPr="001571D9">
        <w:rPr>
          <w:rFonts w:ascii="Book Antiqua" w:hAnsi="Book Antiqua"/>
          <w:i/>
          <w:szCs w:val="24"/>
          <w:lang w:val="en-US"/>
        </w:rPr>
        <w:t xml:space="preserve"> non </w:t>
      </w:r>
      <w:proofErr w:type="spellStart"/>
      <w:r w:rsidRPr="001571D9">
        <w:rPr>
          <w:rFonts w:ascii="Book Antiqua" w:hAnsi="Book Antiqua"/>
          <w:i/>
          <w:szCs w:val="24"/>
          <w:lang w:val="en-US"/>
        </w:rPr>
        <w:t>ambigitur</w:t>
      </w:r>
      <w:proofErr w:type="spellEnd"/>
      <w:r w:rsidRPr="001571D9">
        <w:rPr>
          <w:rFonts w:ascii="Book Antiqua" w:hAnsi="Book Antiqua"/>
          <w:i/>
          <w:szCs w:val="24"/>
          <w:lang w:val="en-US"/>
        </w:rPr>
        <w:t xml:space="preserve">, ubi </w:t>
      </w:r>
      <w:proofErr w:type="spellStart"/>
      <w:r w:rsidRPr="001571D9">
        <w:rPr>
          <w:rFonts w:ascii="Book Antiqua" w:hAnsi="Book Antiqua"/>
          <w:i/>
          <w:szCs w:val="24"/>
          <w:lang w:val="en-US"/>
        </w:rPr>
        <w:t>quis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larem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rerumque</w:t>
      </w:r>
      <w:proofErr w:type="spellEnd"/>
      <w:r w:rsidRPr="001571D9">
        <w:rPr>
          <w:rFonts w:ascii="Book Antiqua" w:hAnsi="Book Antiqua"/>
          <w:i/>
          <w:szCs w:val="24"/>
          <w:lang w:val="en-US"/>
        </w:rPr>
        <w:t xml:space="preserve"> ac </w:t>
      </w:r>
      <w:proofErr w:type="spellStart"/>
      <w:r w:rsidRPr="001571D9">
        <w:rPr>
          <w:rFonts w:ascii="Book Antiqua" w:hAnsi="Book Antiqua"/>
          <w:i/>
          <w:szCs w:val="24"/>
          <w:lang w:val="en-US"/>
        </w:rPr>
        <w:t>fortunarum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suarum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summam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consituit</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unde</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rursus</w:t>
      </w:r>
      <w:proofErr w:type="spellEnd"/>
      <w:r w:rsidRPr="001571D9">
        <w:rPr>
          <w:rFonts w:ascii="Book Antiqua" w:hAnsi="Book Antiqua"/>
          <w:i/>
          <w:szCs w:val="24"/>
          <w:lang w:val="en-US"/>
        </w:rPr>
        <w:t xml:space="preserve"> non sit </w:t>
      </w:r>
      <w:proofErr w:type="spellStart"/>
      <w:r w:rsidRPr="001571D9">
        <w:rPr>
          <w:rFonts w:ascii="Book Antiqua" w:hAnsi="Book Antiqua"/>
          <w:i/>
          <w:szCs w:val="24"/>
          <w:lang w:val="en-US"/>
        </w:rPr>
        <w:t>discessurus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si</w:t>
      </w:r>
      <w:proofErr w:type="spellEnd"/>
      <w:r w:rsidRPr="001571D9">
        <w:rPr>
          <w:rFonts w:ascii="Book Antiqua" w:hAnsi="Book Antiqua"/>
          <w:i/>
          <w:szCs w:val="24"/>
          <w:lang w:val="en-US"/>
        </w:rPr>
        <w:t xml:space="preserve"> nihil avocet, </w:t>
      </w:r>
      <w:proofErr w:type="spellStart"/>
      <w:r w:rsidRPr="001571D9">
        <w:rPr>
          <w:rFonts w:ascii="Book Antiqua" w:hAnsi="Book Antiqua"/>
          <w:i/>
          <w:szCs w:val="24"/>
          <w:lang w:val="en-US"/>
        </w:rPr>
        <w:t>unde</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quum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profectus</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est</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peregrinari</w:t>
      </w:r>
      <w:proofErr w:type="spellEnd"/>
      <w:r w:rsidRPr="001571D9">
        <w:rPr>
          <w:rFonts w:ascii="Book Antiqua" w:hAnsi="Book Antiqua"/>
          <w:i/>
          <w:szCs w:val="24"/>
          <w:lang w:val="en-US"/>
        </w:rPr>
        <w:t xml:space="preserve"> </w:t>
      </w:r>
      <w:proofErr w:type="spellStart"/>
      <w:proofErr w:type="gramStart"/>
      <w:r w:rsidRPr="001571D9">
        <w:rPr>
          <w:rFonts w:ascii="Book Antiqua" w:hAnsi="Book Antiqua"/>
          <w:i/>
          <w:szCs w:val="24"/>
          <w:lang w:val="en-US"/>
        </w:rPr>
        <w:t>videtur</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quod</w:t>
      </w:r>
      <w:proofErr w:type="spellEnd"/>
      <w:proofErr w:type="gramEnd"/>
      <w:r w:rsidRPr="001571D9">
        <w:rPr>
          <w:rFonts w:ascii="Book Antiqua" w:hAnsi="Book Antiqua"/>
          <w:i/>
          <w:szCs w:val="24"/>
          <w:lang w:val="en-US"/>
        </w:rPr>
        <w:t xml:space="preserve"> </w:t>
      </w:r>
      <w:proofErr w:type="spellStart"/>
      <w:r w:rsidRPr="001571D9">
        <w:rPr>
          <w:rFonts w:ascii="Book Antiqua" w:hAnsi="Book Antiqua"/>
          <w:i/>
          <w:szCs w:val="24"/>
          <w:lang w:val="en-US"/>
        </w:rPr>
        <w:t>si</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redit</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peregrinari</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iam</w:t>
      </w:r>
      <w:proofErr w:type="spellEnd"/>
      <w:r w:rsidRPr="001571D9">
        <w:rPr>
          <w:rFonts w:ascii="Book Antiqua" w:hAnsi="Book Antiqua"/>
          <w:i/>
          <w:szCs w:val="24"/>
          <w:lang w:val="en-US"/>
        </w:rPr>
        <w:t xml:space="preserve"> </w:t>
      </w:r>
      <w:proofErr w:type="spellStart"/>
      <w:r w:rsidRPr="001571D9">
        <w:rPr>
          <w:rFonts w:ascii="Book Antiqua" w:hAnsi="Book Antiqua"/>
          <w:i/>
          <w:szCs w:val="24"/>
          <w:lang w:val="en-US"/>
        </w:rPr>
        <w:t>destitit</w:t>
      </w:r>
      <w:proofErr w:type="spellEnd"/>
      <w:r w:rsidRPr="001571D9">
        <w:rPr>
          <w:rFonts w:ascii="Book Antiqua" w:hAnsi="Book Antiqua"/>
          <w:i/>
          <w:szCs w:val="24"/>
          <w:lang w:val="en-US"/>
        </w:rPr>
        <w:t>.</w:t>
      </w:r>
      <w:r w:rsidRPr="001571D9">
        <w:rPr>
          <w:rFonts w:ascii="Book Antiqua" w:hAnsi="Book Antiqua"/>
          <w:szCs w:val="24"/>
          <w:lang w:val="en-US"/>
        </w:rPr>
        <w:t xml:space="preserve"> </w:t>
      </w:r>
      <w:r w:rsidRPr="001571D9">
        <w:rPr>
          <w:rFonts w:ascii="Book Antiqua" w:hAnsi="Book Antiqua"/>
          <w:szCs w:val="24"/>
        </w:rPr>
        <w:t xml:space="preserve">En este sentido no se considera que está en su domicilio quien es huésped en el mismo. Como señala Paulo D. 9.3.4.9., es mucha la diferencia entre habitante y huésped, del mismo modo que la hay entre los que tienen domicilio y los que son pasajeros. Este precepto, a pesar de sentar un criterio eficaz, ha sido criticado por lo que de subjetivo o “psicológico” contiene, de una parte, por lo fácil que puede suponer el cambiar de sentimiento respecto a una vivienda y, en segundo lugar, por el hecho de poseer varias y sentirse igual en ellas. </w:t>
      </w:r>
    </w:p>
  </w:footnote>
  <w:footnote w:id="31">
    <w:p w14:paraId="40E003F8"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Sobre competencia jurisdiccional en las Partidas de Alfonso X el Sabio, vid. Partida 3, Título II, Ley XXXII: </w:t>
      </w:r>
      <w:r w:rsidRPr="001571D9">
        <w:rPr>
          <w:rFonts w:ascii="Book Antiqua" w:hAnsi="Book Antiqua"/>
          <w:i/>
          <w:szCs w:val="24"/>
        </w:rPr>
        <w:t xml:space="preserve">Ante quien debe el demandador </w:t>
      </w:r>
      <w:proofErr w:type="spellStart"/>
      <w:r w:rsidRPr="001571D9">
        <w:rPr>
          <w:rFonts w:ascii="Book Antiqua" w:hAnsi="Book Antiqua"/>
          <w:i/>
          <w:szCs w:val="24"/>
        </w:rPr>
        <w:t>facer</w:t>
      </w:r>
      <w:proofErr w:type="spellEnd"/>
      <w:r w:rsidRPr="001571D9">
        <w:rPr>
          <w:rFonts w:ascii="Book Antiqua" w:hAnsi="Book Antiqua"/>
          <w:i/>
          <w:szCs w:val="24"/>
        </w:rPr>
        <w:t xml:space="preserve"> su demanda para responder le el demandado</w:t>
      </w:r>
      <w:r w:rsidRPr="001571D9">
        <w:rPr>
          <w:rFonts w:ascii="Book Antiqua" w:hAnsi="Book Antiqua"/>
          <w:szCs w:val="24"/>
        </w:rPr>
        <w:t>.</w:t>
      </w:r>
    </w:p>
  </w:footnote>
  <w:footnote w:id="32">
    <w:p w14:paraId="6D05122A"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w:t>
      </w:r>
      <w:proofErr w:type="gramStart"/>
      <w:r w:rsidRPr="001571D9">
        <w:rPr>
          <w:rFonts w:ascii="Book Antiqua" w:hAnsi="Book Antiqua"/>
          <w:szCs w:val="24"/>
        </w:rPr>
        <w:t>CARRASCOSA  GONZÁLEZ</w:t>
      </w:r>
      <w:proofErr w:type="gramEnd"/>
      <w:r w:rsidRPr="001571D9">
        <w:rPr>
          <w:rFonts w:ascii="Book Antiqua" w:hAnsi="Book Antiqua"/>
          <w:szCs w:val="24"/>
        </w:rPr>
        <w:t xml:space="preserve">, </w:t>
      </w:r>
      <w:proofErr w:type="spellStart"/>
      <w:r w:rsidRPr="001571D9">
        <w:rPr>
          <w:rFonts w:ascii="Book Antiqua" w:hAnsi="Book Antiqua"/>
          <w:szCs w:val="24"/>
        </w:rPr>
        <w:t>J.,“Foro</w:t>
      </w:r>
      <w:proofErr w:type="spellEnd"/>
      <w:r w:rsidRPr="001571D9">
        <w:rPr>
          <w:rFonts w:ascii="Book Antiqua" w:hAnsi="Book Antiqua"/>
          <w:szCs w:val="24"/>
        </w:rPr>
        <w:t xml:space="preserve"> del domicilio del demandado y Reglamento Bruselas `I-Bis 1215/2012´. Análisis crítico de la regla</w:t>
      </w:r>
      <w:r w:rsidRPr="001571D9">
        <w:rPr>
          <w:rFonts w:ascii="Book Antiqua" w:hAnsi="Book Antiqua"/>
          <w:i/>
          <w:szCs w:val="24"/>
        </w:rPr>
        <w:t xml:space="preserve"> actor </w:t>
      </w:r>
      <w:proofErr w:type="spellStart"/>
      <w:r w:rsidRPr="001571D9">
        <w:rPr>
          <w:rFonts w:ascii="Book Antiqua" w:hAnsi="Book Antiqua"/>
          <w:i/>
          <w:szCs w:val="24"/>
        </w:rPr>
        <w:t>sequitur</w:t>
      </w:r>
      <w:proofErr w:type="spellEnd"/>
      <w:r w:rsidRPr="001571D9">
        <w:rPr>
          <w:rFonts w:ascii="Book Antiqua" w:hAnsi="Book Antiqua"/>
          <w:i/>
          <w:szCs w:val="24"/>
        </w:rPr>
        <w:t xml:space="preserve"> </w:t>
      </w:r>
      <w:proofErr w:type="spellStart"/>
      <w:r w:rsidRPr="001571D9">
        <w:rPr>
          <w:rFonts w:ascii="Book Antiqua" w:hAnsi="Book Antiqua"/>
          <w:i/>
          <w:szCs w:val="24"/>
        </w:rPr>
        <w:t>forum</w:t>
      </w:r>
      <w:proofErr w:type="spellEnd"/>
      <w:r w:rsidRPr="001571D9">
        <w:rPr>
          <w:rFonts w:ascii="Book Antiqua" w:hAnsi="Book Antiqua"/>
          <w:i/>
          <w:szCs w:val="24"/>
        </w:rPr>
        <w:t xml:space="preserve"> </w:t>
      </w:r>
      <w:proofErr w:type="spellStart"/>
      <w:r w:rsidRPr="001571D9">
        <w:rPr>
          <w:rFonts w:ascii="Book Antiqua" w:hAnsi="Book Antiqua"/>
          <w:szCs w:val="24"/>
        </w:rPr>
        <w:t>rei</w:t>
      </w:r>
      <w:proofErr w:type="spellEnd"/>
      <w:r w:rsidRPr="001571D9">
        <w:rPr>
          <w:rFonts w:ascii="Book Antiqua" w:hAnsi="Book Antiqua"/>
          <w:szCs w:val="24"/>
        </w:rPr>
        <w:t xml:space="preserve">”, en </w:t>
      </w:r>
      <w:r w:rsidRPr="001571D9">
        <w:rPr>
          <w:rFonts w:ascii="Book Antiqua" w:hAnsi="Book Antiqua"/>
          <w:i/>
          <w:szCs w:val="24"/>
        </w:rPr>
        <w:t>Cuadernos de Derecho Internacion</w:t>
      </w:r>
      <w:r w:rsidRPr="001571D9">
        <w:rPr>
          <w:rFonts w:ascii="Book Antiqua" w:hAnsi="Book Antiqua"/>
          <w:szCs w:val="24"/>
        </w:rPr>
        <w:t xml:space="preserve">al (marzo 2019), Vol. 11, nº1, Madrid.  En dicho artículo hace mención, además, a que las “excepciones u “opciones jurisdiccionales” al domicilio del demandado comienzan a marcar una nueva tendencia recogida por la jurisprudencia del </w:t>
      </w:r>
      <w:proofErr w:type="spellStart"/>
      <w:r w:rsidRPr="001571D9">
        <w:rPr>
          <w:rFonts w:ascii="Book Antiqua" w:hAnsi="Book Antiqua"/>
          <w:szCs w:val="24"/>
        </w:rPr>
        <w:t>TJUE</w:t>
      </w:r>
      <w:proofErr w:type="spellEnd"/>
      <w:r w:rsidRPr="001571D9">
        <w:rPr>
          <w:rFonts w:ascii="Book Antiqua" w:hAnsi="Book Antiqua"/>
          <w:szCs w:val="24"/>
        </w:rPr>
        <w:t>.</w:t>
      </w:r>
    </w:p>
  </w:footnote>
  <w:footnote w:id="33">
    <w:p w14:paraId="7696C3A0" w14:textId="77777777" w:rsidR="004A00AB" w:rsidRPr="001571D9" w:rsidRDefault="004A00AB" w:rsidP="004A00AB">
      <w:pPr>
        <w:pStyle w:val="Textonotapie"/>
        <w:spacing w:line="360" w:lineRule="auto"/>
        <w:rPr>
          <w:rFonts w:ascii="Book Antiqua" w:hAnsi="Book Antiqua"/>
          <w:szCs w:val="24"/>
        </w:rPr>
      </w:pPr>
      <w:r>
        <w:rPr>
          <w:rStyle w:val="Refdenotaalpie"/>
        </w:rPr>
        <w:footnoteRef/>
      </w:r>
      <w:r>
        <w:t xml:space="preserve"> </w:t>
      </w:r>
      <w:r w:rsidRPr="001571D9">
        <w:rPr>
          <w:rFonts w:ascii="Book Antiqua" w:hAnsi="Book Antiqua"/>
          <w:szCs w:val="24"/>
        </w:rPr>
        <w:t>Vid.</w:t>
      </w:r>
      <w:r>
        <w:rPr>
          <w:rFonts w:ascii="Book Antiqua" w:hAnsi="Book Antiqua"/>
          <w:szCs w:val="24"/>
        </w:rPr>
        <w:t xml:space="preserve"> </w:t>
      </w:r>
      <w:proofErr w:type="spellStart"/>
      <w:r w:rsidRPr="001571D9">
        <w:rPr>
          <w:rFonts w:ascii="Book Antiqua" w:hAnsi="Book Antiqua"/>
          <w:szCs w:val="24"/>
        </w:rPr>
        <w:t>STJUE</w:t>
      </w:r>
      <w:proofErr w:type="spellEnd"/>
      <w:r w:rsidRPr="001571D9">
        <w:rPr>
          <w:rFonts w:ascii="Book Antiqua" w:hAnsi="Book Antiqua"/>
          <w:szCs w:val="24"/>
        </w:rPr>
        <w:t xml:space="preserve"> C-337/17.ECLI:EU:</w:t>
      </w:r>
      <w:proofErr w:type="gramStart"/>
      <w:r w:rsidRPr="001571D9">
        <w:rPr>
          <w:rFonts w:ascii="Book Antiqua" w:hAnsi="Book Antiqua"/>
          <w:szCs w:val="24"/>
        </w:rPr>
        <w:t>C:2018:805</w:t>
      </w:r>
      <w:proofErr w:type="gramEnd"/>
      <w:r w:rsidRPr="001571D9">
        <w:rPr>
          <w:rFonts w:ascii="Book Antiqua" w:hAnsi="Book Antiqua"/>
          <w:szCs w:val="24"/>
        </w:rPr>
        <w:t xml:space="preserve">, </w:t>
      </w:r>
      <w:proofErr w:type="spellStart"/>
      <w:r w:rsidRPr="001571D9">
        <w:rPr>
          <w:rFonts w:ascii="Book Antiqua" w:hAnsi="Book Antiqua"/>
          <w:szCs w:val="24"/>
        </w:rPr>
        <w:t>Feniks</w:t>
      </w:r>
      <w:proofErr w:type="spellEnd"/>
      <w:r w:rsidRPr="001571D9">
        <w:rPr>
          <w:rFonts w:ascii="Book Antiqua" w:hAnsi="Book Antiqua"/>
          <w:szCs w:val="24"/>
        </w:rPr>
        <w:t xml:space="preserve"> </w:t>
      </w:r>
      <w:proofErr w:type="spellStart"/>
      <w:r w:rsidRPr="001571D9">
        <w:rPr>
          <w:rFonts w:ascii="Book Antiqua" w:hAnsi="Book Antiqua"/>
          <w:szCs w:val="24"/>
        </w:rPr>
        <w:t>Sp</w:t>
      </w:r>
      <w:proofErr w:type="spellEnd"/>
      <w:r w:rsidRPr="001571D9">
        <w:rPr>
          <w:rFonts w:ascii="Book Antiqua" w:hAnsi="Book Antiqua"/>
          <w:szCs w:val="24"/>
        </w:rPr>
        <w:t xml:space="preserve"> contra Azteca </w:t>
      </w:r>
      <w:proofErr w:type="spellStart"/>
      <w:r w:rsidRPr="001571D9">
        <w:rPr>
          <w:rFonts w:ascii="Book Antiqua" w:hAnsi="Book Antiqua"/>
          <w:szCs w:val="24"/>
        </w:rPr>
        <w:t>Products&amp;Services</w:t>
      </w:r>
      <w:proofErr w:type="spellEnd"/>
      <w:r w:rsidRPr="001571D9">
        <w:rPr>
          <w:rFonts w:ascii="Book Antiqua" w:hAnsi="Book Antiqua"/>
          <w:szCs w:val="24"/>
        </w:rPr>
        <w:t xml:space="preserve"> SL, en relación a la competencia  judicial en materia de venta de mercaderías y prestación de servicios. En esta sentencia se establece que la acción pauliana no ha de seguir el domicilio del demando, sino el del lugar de la realización de las obras o prestación de servicios, siguiendo el foro tradicional romano. El principio </w:t>
      </w:r>
      <w:proofErr w:type="spellStart"/>
      <w:r w:rsidRPr="001571D9">
        <w:rPr>
          <w:rFonts w:ascii="Book Antiqua" w:hAnsi="Book Antiqua"/>
          <w:i/>
          <w:szCs w:val="24"/>
        </w:rPr>
        <w:t>forum</w:t>
      </w:r>
      <w:proofErr w:type="spellEnd"/>
      <w:r w:rsidRPr="001571D9">
        <w:rPr>
          <w:rFonts w:ascii="Book Antiqua" w:hAnsi="Book Antiqua"/>
          <w:i/>
          <w:szCs w:val="24"/>
        </w:rPr>
        <w:t xml:space="preserve"> </w:t>
      </w:r>
      <w:proofErr w:type="spellStart"/>
      <w:r w:rsidRPr="001571D9">
        <w:rPr>
          <w:rFonts w:ascii="Book Antiqua" w:hAnsi="Book Antiqua"/>
          <w:i/>
          <w:szCs w:val="24"/>
        </w:rPr>
        <w:t>rei</w:t>
      </w:r>
      <w:proofErr w:type="spellEnd"/>
      <w:r w:rsidRPr="001571D9">
        <w:rPr>
          <w:rFonts w:ascii="Book Antiqua" w:hAnsi="Book Antiqua"/>
          <w:i/>
          <w:szCs w:val="24"/>
        </w:rPr>
        <w:t xml:space="preserve"> </w:t>
      </w:r>
      <w:proofErr w:type="spellStart"/>
      <w:r w:rsidRPr="001571D9">
        <w:rPr>
          <w:rFonts w:ascii="Book Antiqua" w:hAnsi="Book Antiqua"/>
          <w:i/>
          <w:szCs w:val="24"/>
        </w:rPr>
        <w:t>sitae</w:t>
      </w:r>
      <w:proofErr w:type="spellEnd"/>
      <w:r w:rsidRPr="001571D9">
        <w:rPr>
          <w:rFonts w:ascii="Book Antiqua" w:hAnsi="Book Antiqua"/>
          <w:szCs w:val="24"/>
        </w:rPr>
        <w:t xml:space="preserve"> ya fue acogido por los autores clásicos como la adecuad</w:t>
      </w:r>
      <w:r>
        <w:rPr>
          <w:rFonts w:ascii="Book Antiqua" w:hAnsi="Book Antiqua"/>
          <w:szCs w:val="24"/>
        </w:rPr>
        <w:t>a</w:t>
      </w:r>
      <w:r w:rsidRPr="001571D9">
        <w:rPr>
          <w:rFonts w:ascii="Book Antiqua" w:hAnsi="Book Antiqua"/>
          <w:szCs w:val="24"/>
        </w:rPr>
        <w:t xml:space="preserve"> para los supuestos de litigios que versasen sobre propiedad, servidumbres y otros derechos reales. A este respecto el art. 24.1 del Reglamento Bruselas I-</w:t>
      </w:r>
      <w:r>
        <w:rPr>
          <w:rFonts w:ascii="Book Antiqua" w:hAnsi="Book Antiqua"/>
          <w:szCs w:val="24"/>
        </w:rPr>
        <w:t>Bis,</w:t>
      </w:r>
      <w:r w:rsidRPr="001571D9">
        <w:rPr>
          <w:rFonts w:ascii="Book Antiqua" w:hAnsi="Book Antiqua"/>
          <w:szCs w:val="24"/>
        </w:rPr>
        <w:t xml:space="preserve"> en la sección relativa a Competencias Exclusivas prescribe que,</w:t>
      </w:r>
      <w:r w:rsidRPr="00623E76">
        <w:rPr>
          <w:rFonts w:ascii="Book Antiqua" w:hAnsi="Book Antiqua"/>
          <w:szCs w:val="24"/>
        </w:rPr>
        <w:t xml:space="preserve"> </w:t>
      </w:r>
      <w:r>
        <w:rPr>
          <w:rFonts w:ascii="Book Antiqua" w:hAnsi="Book Antiqua"/>
          <w:szCs w:val="24"/>
        </w:rPr>
        <w:t>“</w:t>
      </w:r>
      <w:r w:rsidRPr="00623E76">
        <w:rPr>
          <w:rFonts w:ascii="Book Antiqua" w:hAnsi="Book Antiqua"/>
          <w:szCs w:val="24"/>
        </w:rPr>
        <w:t>en materia de derechos reales inmobiliarios y de contratos de arrendamiento de bienes inmuebles, son competentes los órganos jurisdiccionales del Estado miembro donde el inmueble se halle sito”.</w:t>
      </w:r>
      <w:r w:rsidRPr="001571D9">
        <w:rPr>
          <w:rFonts w:ascii="Book Antiqua" w:hAnsi="Book Antiqua"/>
          <w:szCs w:val="24"/>
        </w:rPr>
        <w:t xml:space="preserve"> El precepto incluye la excepción de que los litigantes estén domiciliados en un mismo estado, distinto al del domicilio del demandado. A favor de un fuero que responda a la mayor cercanía del tema en detrimento del domicilio.</w:t>
      </w:r>
      <w:r w:rsidRPr="001571D9">
        <w:rPr>
          <w:rFonts w:ascii="Book Antiqua" w:hAnsi="Book Antiqua"/>
          <w:i/>
          <w:szCs w:val="24"/>
        </w:rPr>
        <w:t xml:space="preserve"> </w:t>
      </w:r>
      <w:r w:rsidRPr="001571D9">
        <w:rPr>
          <w:rFonts w:ascii="Book Antiqua" w:hAnsi="Book Antiqua"/>
          <w:szCs w:val="24"/>
        </w:rPr>
        <w:t>Vid. CARRASCOSA GONZÁLEZ</w:t>
      </w:r>
      <w:r w:rsidRPr="001571D9">
        <w:rPr>
          <w:rFonts w:ascii="Book Antiqua" w:hAnsi="Book Antiqua"/>
          <w:i/>
          <w:szCs w:val="24"/>
        </w:rPr>
        <w:t xml:space="preserve">, </w:t>
      </w:r>
      <w:r w:rsidRPr="001571D9">
        <w:rPr>
          <w:rFonts w:ascii="Book Antiqua" w:hAnsi="Book Antiqua"/>
          <w:szCs w:val="24"/>
        </w:rPr>
        <w:t>J., “Foro del domicilio del demandado y Reglamento Bruselas `I-Bis 1215/</w:t>
      </w:r>
      <w:proofErr w:type="gramStart"/>
      <w:r w:rsidRPr="001571D9">
        <w:rPr>
          <w:rFonts w:ascii="Book Antiqua" w:hAnsi="Book Antiqua"/>
          <w:szCs w:val="24"/>
        </w:rPr>
        <w:t>2012..</w:t>
      </w:r>
      <w:proofErr w:type="gramEnd"/>
      <w:r w:rsidRPr="001571D9">
        <w:rPr>
          <w:rFonts w:ascii="Book Antiqua" w:hAnsi="Book Antiqua"/>
          <w:szCs w:val="24"/>
        </w:rPr>
        <w:t>”</w:t>
      </w:r>
      <w:r w:rsidRPr="001571D9">
        <w:rPr>
          <w:rFonts w:ascii="Book Antiqua" w:hAnsi="Book Antiqua"/>
          <w:i/>
          <w:szCs w:val="24"/>
        </w:rPr>
        <w:t xml:space="preserve"> </w:t>
      </w:r>
      <w:proofErr w:type="spellStart"/>
      <w:r w:rsidRPr="00825E49">
        <w:rPr>
          <w:rFonts w:ascii="Book Antiqua" w:hAnsi="Book Antiqua"/>
          <w:szCs w:val="24"/>
        </w:rPr>
        <w:t>op</w:t>
      </w:r>
      <w:proofErr w:type="spellEnd"/>
      <w:r w:rsidRPr="00825E49">
        <w:rPr>
          <w:rFonts w:ascii="Book Antiqua" w:hAnsi="Book Antiqua"/>
          <w:szCs w:val="24"/>
        </w:rPr>
        <w:t>.</w:t>
      </w:r>
      <w:r>
        <w:rPr>
          <w:rFonts w:ascii="Book Antiqua" w:hAnsi="Book Antiqua"/>
          <w:i/>
          <w:szCs w:val="24"/>
        </w:rPr>
        <w:t xml:space="preserve"> </w:t>
      </w:r>
      <w:r w:rsidRPr="001571D9">
        <w:rPr>
          <w:rFonts w:ascii="Book Antiqua" w:hAnsi="Book Antiqua"/>
          <w:szCs w:val="24"/>
        </w:rPr>
        <w:t>c</w:t>
      </w:r>
      <w:r w:rsidRPr="001571D9">
        <w:rPr>
          <w:rFonts w:ascii="Book Antiqua" w:hAnsi="Book Antiqua"/>
          <w:szCs w:val="24"/>
          <w:u w:val="single"/>
        </w:rPr>
        <w:t>i</w:t>
      </w:r>
      <w:r w:rsidRPr="001571D9">
        <w:rPr>
          <w:rFonts w:ascii="Book Antiqua" w:hAnsi="Book Antiqua"/>
          <w:szCs w:val="24"/>
        </w:rPr>
        <w:t>t</w:t>
      </w:r>
      <w:r>
        <w:rPr>
          <w:rFonts w:ascii="Book Antiqua" w:hAnsi="Book Antiqua"/>
          <w:szCs w:val="24"/>
        </w:rPr>
        <w:t>.</w:t>
      </w:r>
      <w:r w:rsidRPr="001571D9">
        <w:rPr>
          <w:rFonts w:ascii="Book Antiqua" w:hAnsi="Book Antiqua"/>
          <w:i/>
          <w:szCs w:val="24"/>
        </w:rPr>
        <w:t xml:space="preserve">, </w:t>
      </w:r>
      <w:r w:rsidRPr="001571D9">
        <w:rPr>
          <w:rFonts w:ascii="Book Antiqua" w:hAnsi="Book Antiqua"/>
          <w:szCs w:val="24"/>
        </w:rPr>
        <w:t xml:space="preserve">p.134.  Acerca del </w:t>
      </w:r>
      <w:proofErr w:type="spellStart"/>
      <w:r w:rsidRPr="001571D9">
        <w:rPr>
          <w:rFonts w:ascii="Book Antiqua" w:hAnsi="Book Antiqua"/>
          <w:i/>
          <w:szCs w:val="24"/>
        </w:rPr>
        <w:t>forum</w:t>
      </w:r>
      <w:proofErr w:type="spellEnd"/>
      <w:r w:rsidRPr="001571D9">
        <w:rPr>
          <w:rFonts w:ascii="Book Antiqua" w:hAnsi="Book Antiqua"/>
          <w:i/>
          <w:szCs w:val="24"/>
        </w:rPr>
        <w:t xml:space="preserve"> </w:t>
      </w:r>
      <w:proofErr w:type="spellStart"/>
      <w:r w:rsidRPr="001571D9">
        <w:rPr>
          <w:rFonts w:ascii="Book Antiqua" w:hAnsi="Book Antiqua"/>
          <w:i/>
          <w:szCs w:val="24"/>
        </w:rPr>
        <w:t>solutionis</w:t>
      </w:r>
      <w:proofErr w:type="spellEnd"/>
      <w:r w:rsidRPr="001571D9">
        <w:rPr>
          <w:rFonts w:ascii="Book Antiqua" w:hAnsi="Book Antiqua"/>
          <w:szCs w:val="24"/>
        </w:rPr>
        <w:t xml:space="preserve"> en Derecho romano, vid. </w:t>
      </w:r>
      <w:proofErr w:type="spellStart"/>
      <w:r w:rsidRPr="001571D9">
        <w:rPr>
          <w:rFonts w:ascii="Book Antiqua" w:hAnsi="Book Antiqua"/>
          <w:szCs w:val="24"/>
        </w:rPr>
        <w:t>AMARELLI</w:t>
      </w:r>
      <w:proofErr w:type="spellEnd"/>
      <w:r w:rsidRPr="001571D9">
        <w:rPr>
          <w:rFonts w:ascii="Book Antiqua" w:hAnsi="Book Antiqua"/>
          <w:szCs w:val="24"/>
        </w:rPr>
        <w:t>, F.</w:t>
      </w:r>
      <w:r w:rsidRPr="001571D9">
        <w:rPr>
          <w:rFonts w:ascii="Book Antiqua" w:hAnsi="Book Antiqua"/>
          <w:i/>
          <w:szCs w:val="24"/>
        </w:rPr>
        <w:t xml:space="preserve">, Locus </w:t>
      </w:r>
      <w:proofErr w:type="spellStart"/>
      <w:r w:rsidRPr="001571D9">
        <w:rPr>
          <w:rFonts w:ascii="Book Antiqua" w:hAnsi="Book Antiqua"/>
          <w:i/>
          <w:szCs w:val="24"/>
        </w:rPr>
        <w:t>solutionis</w:t>
      </w:r>
      <w:proofErr w:type="spellEnd"/>
      <w:r w:rsidRPr="001571D9">
        <w:rPr>
          <w:rFonts w:ascii="Book Antiqua" w:hAnsi="Book Antiqua"/>
          <w:i/>
          <w:szCs w:val="24"/>
        </w:rPr>
        <w:t xml:space="preserve">. </w:t>
      </w:r>
      <w:proofErr w:type="spellStart"/>
      <w:r w:rsidRPr="001571D9">
        <w:rPr>
          <w:rFonts w:ascii="Book Antiqua" w:hAnsi="Book Antiqua"/>
          <w:i/>
          <w:szCs w:val="24"/>
        </w:rPr>
        <w:t>Contributo</w:t>
      </w:r>
      <w:proofErr w:type="spellEnd"/>
      <w:r w:rsidRPr="001571D9">
        <w:rPr>
          <w:rFonts w:ascii="Book Antiqua" w:hAnsi="Book Antiqua"/>
          <w:i/>
          <w:szCs w:val="24"/>
        </w:rPr>
        <w:t xml:space="preserve"> </w:t>
      </w:r>
      <w:proofErr w:type="spellStart"/>
      <w:r w:rsidRPr="001571D9">
        <w:rPr>
          <w:rFonts w:ascii="Book Antiqua" w:hAnsi="Book Antiqua"/>
          <w:i/>
          <w:szCs w:val="24"/>
        </w:rPr>
        <w:t>alla</w:t>
      </w:r>
      <w:proofErr w:type="spellEnd"/>
      <w:r w:rsidRPr="001571D9">
        <w:rPr>
          <w:rFonts w:ascii="Book Antiqua" w:hAnsi="Book Antiqua"/>
          <w:i/>
          <w:szCs w:val="24"/>
        </w:rPr>
        <w:t xml:space="preserve"> teoría del </w:t>
      </w:r>
      <w:proofErr w:type="spellStart"/>
      <w:r w:rsidRPr="001571D9">
        <w:rPr>
          <w:rFonts w:ascii="Book Antiqua" w:hAnsi="Book Antiqua"/>
          <w:i/>
          <w:szCs w:val="24"/>
        </w:rPr>
        <w:t>luogo</w:t>
      </w:r>
      <w:proofErr w:type="spellEnd"/>
      <w:r w:rsidRPr="001571D9">
        <w:rPr>
          <w:rFonts w:ascii="Book Antiqua" w:hAnsi="Book Antiqua"/>
          <w:i/>
          <w:szCs w:val="24"/>
        </w:rPr>
        <w:t xml:space="preserve"> </w:t>
      </w:r>
      <w:proofErr w:type="spellStart"/>
      <w:r w:rsidRPr="001571D9">
        <w:rPr>
          <w:rFonts w:ascii="Book Antiqua" w:hAnsi="Book Antiqua"/>
          <w:i/>
          <w:szCs w:val="24"/>
        </w:rPr>
        <w:t>dell´adempimento</w:t>
      </w:r>
      <w:proofErr w:type="spellEnd"/>
      <w:r w:rsidRPr="001571D9">
        <w:rPr>
          <w:rFonts w:ascii="Book Antiqua" w:hAnsi="Book Antiqua"/>
          <w:i/>
          <w:szCs w:val="24"/>
        </w:rPr>
        <w:t xml:space="preserve"> in </w:t>
      </w:r>
      <w:proofErr w:type="spellStart"/>
      <w:r w:rsidRPr="001571D9">
        <w:rPr>
          <w:rFonts w:ascii="Book Antiqua" w:hAnsi="Book Antiqua"/>
          <w:i/>
          <w:szCs w:val="24"/>
        </w:rPr>
        <w:t>Diritto</w:t>
      </w:r>
      <w:proofErr w:type="spellEnd"/>
      <w:r w:rsidRPr="001571D9">
        <w:rPr>
          <w:rFonts w:ascii="Book Antiqua" w:hAnsi="Book Antiqua"/>
          <w:i/>
          <w:szCs w:val="24"/>
        </w:rPr>
        <w:t xml:space="preserve"> romano</w:t>
      </w:r>
      <w:r w:rsidRPr="001571D9">
        <w:rPr>
          <w:rFonts w:ascii="Book Antiqua" w:hAnsi="Book Antiqua"/>
          <w:szCs w:val="24"/>
        </w:rPr>
        <w:t>, Milán, 1984.</w:t>
      </w:r>
      <w:r>
        <w:rPr>
          <w:rFonts w:ascii="Book Antiqua" w:hAnsi="Book Antiqua"/>
          <w:szCs w:val="24"/>
        </w:rPr>
        <w:t xml:space="preserve"> </w:t>
      </w:r>
    </w:p>
    <w:p w14:paraId="10DBC066" w14:textId="77777777" w:rsidR="004A00AB" w:rsidRDefault="004A00AB" w:rsidP="004A00AB">
      <w:pPr>
        <w:pStyle w:val="Textonotapie"/>
      </w:pPr>
    </w:p>
  </w:footnote>
  <w:footnote w:id="34">
    <w:p w14:paraId="5970B27D"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El a</w:t>
      </w:r>
      <w:r w:rsidRPr="00623E76">
        <w:rPr>
          <w:rFonts w:ascii="Book Antiqua" w:hAnsi="Book Antiqua"/>
          <w:szCs w:val="24"/>
        </w:rPr>
        <w:t>rt. 11,5</w:t>
      </w:r>
      <w:r w:rsidRPr="001571D9">
        <w:rPr>
          <w:rFonts w:ascii="Book Antiqua" w:hAnsi="Book Antiqua"/>
          <w:szCs w:val="24"/>
        </w:rPr>
        <w:t xml:space="preserve"> Reglamento </w:t>
      </w:r>
      <w:r>
        <w:rPr>
          <w:rFonts w:ascii="Book Antiqua" w:hAnsi="Book Antiqua"/>
          <w:szCs w:val="24"/>
        </w:rPr>
        <w:t xml:space="preserve">Roma I </w:t>
      </w:r>
      <w:r w:rsidRPr="001571D9">
        <w:rPr>
          <w:rFonts w:ascii="Book Antiqua" w:hAnsi="Book Antiqua"/>
          <w:szCs w:val="24"/>
        </w:rPr>
        <w:t>establece una excepc</w:t>
      </w:r>
      <w:r>
        <w:rPr>
          <w:rFonts w:ascii="Book Antiqua" w:hAnsi="Book Antiqua"/>
          <w:szCs w:val="24"/>
        </w:rPr>
        <w:t>ión</w:t>
      </w:r>
      <w:r w:rsidRPr="001571D9">
        <w:rPr>
          <w:rFonts w:ascii="Book Antiqua" w:hAnsi="Book Antiqua"/>
          <w:szCs w:val="24"/>
        </w:rPr>
        <w:t xml:space="preserve"> manifestando que </w:t>
      </w:r>
      <w:r w:rsidRPr="001571D9">
        <w:rPr>
          <w:rFonts w:ascii="Book Antiqua" w:hAnsi="Book Antiqua"/>
          <w:i/>
          <w:szCs w:val="24"/>
        </w:rPr>
        <w:t>no obstante lo dispuesto en los apartados 1 a 4, todo contrato que tenga por objeto un derecho real sobre un bien inmueble o el arrendamiento de un bien inmueble estará</w:t>
      </w:r>
      <w:r>
        <w:rPr>
          <w:rFonts w:ascii="Book Antiqua" w:hAnsi="Book Antiqua"/>
          <w:i/>
          <w:szCs w:val="24"/>
        </w:rPr>
        <w:t>n</w:t>
      </w:r>
      <w:r w:rsidRPr="001571D9">
        <w:rPr>
          <w:rFonts w:ascii="Book Antiqua" w:hAnsi="Book Antiqua"/>
          <w:i/>
          <w:szCs w:val="24"/>
        </w:rPr>
        <w:t xml:space="preserve"> sometidos, en cuanta a la forma, a las normas de la ley del país en el que el inmueble esté sito .., </w:t>
      </w:r>
      <w:r w:rsidRPr="001571D9">
        <w:rPr>
          <w:rFonts w:ascii="Book Antiqua" w:hAnsi="Book Antiqua"/>
          <w:szCs w:val="24"/>
        </w:rPr>
        <w:t xml:space="preserve">recordando el principio </w:t>
      </w:r>
      <w:proofErr w:type="spellStart"/>
      <w:r w:rsidRPr="001571D9">
        <w:rPr>
          <w:rFonts w:ascii="Book Antiqua" w:hAnsi="Book Antiqua"/>
          <w:i/>
          <w:szCs w:val="24"/>
        </w:rPr>
        <w:t>forum</w:t>
      </w:r>
      <w:proofErr w:type="spellEnd"/>
      <w:r w:rsidRPr="001571D9">
        <w:rPr>
          <w:rFonts w:ascii="Book Antiqua" w:hAnsi="Book Antiqua"/>
          <w:i/>
          <w:szCs w:val="24"/>
        </w:rPr>
        <w:t xml:space="preserve"> </w:t>
      </w:r>
      <w:proofErr w:type="spellStart"/>
      <w:r w:rsidRPr="001571D9">
        <w:rPr>
          <w:rFonts w:ascii="Book Antiqua" w:hAnsi="Book Antiqua"/>
          <w:i/>
          <w:szCs w:val="24"/>
        </w:rPr>
        <w:t>rei</w:t>
      </w:r>
      <w:proofErr w:type="spellEnd"/>
      <w:r w:rsidRPr="001571D9">
        <w:rPr>
          <w:rFonts w:ascii="Book Antiqua" w:hAnsi="Book Antiqua"/>
          <w:i/>
          <w:szCs w:val="24"/>
        </w:rPr>
        <w:t xml:space="preserve"> </w:t>
      </w:r>
      <w:proofErr w:type="spellStart"/>
      <w:r w:rsidRPr="001571D9">
        <w:rPr>
          <w:rFonts w:ascii="Book Antiqua" w:hAnsi="Book Antiqua"/>
          <w:i/>
          <w:szCs w:val="24"/>
        </w:rPr>
        <w:t>sitae</w:t>
      </w:r>
      <w:proofErr w:type="spellEnd"/>
      <w:r w:rsidRPr="001571D9">
        <w:rPr>
          <w:rFonts w:ascii="Book Antiqua" w:hAnsi="Book Antiqua"/>
          <w:szCs w:val="24"/>
        </w:rPr>
        <w:t xml:space="preserve">, propio de las reclamaciones de bienes inmuebles en la antigua Roma, especialmente en materia de herencias o fideicomisos, aunque también allí había excepciones. </w:t>
      </w:r>
    </w:p>
  </w:footnote>
  <w:footnote w:id="35">
    <w:p w14:paraId="537C5068"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La residencia habitual habrá de ser determinada por las partes en el momento de la celebración del contrato, dando relevancia a la voluntad de las partes, pero transmitiendo a las mismas una carga formal, dado que la no remisión a una legislación hará entrar en funcionamiento las normas dispositivas.</w:t>
      </w:r>
    </w:p>
  </w:footnote>
  <w:footnote w:id="36">
    <w:p w14:paraId="63258E4E" w14:textId="77777777" w:rsidR="004A00AB" w:rsidRPr="001571D9" w:rsidRDefault="004A00AB" w:rsidP="004A00AB">
      <w:pPr>
        <w:pStyle w:val="parrafo"/>
        <w:shd w:val="clear" w:color="auto" w:fill="FFFFFF"/>
        <w:spacing w:before="180" w:beforeAutospacing="0" w:after="180" w:afterAutospacing="0" w:line="360" w:lineRule="auto"/>
        <w:jc w:val="both"/>
        <w:rPr>
          <w:rFonts w:ascii="Book Antiqua" w:hAnsi="Book Antiqua"/>
        </w:rPr>
      </w:pPr>
      <w:r w:rsidRPr="001571D9">
        <w:rPr>
          <w:rStyle w:val="Refdenotaalpie"/>
          <w:rFonts w:ascii="Book Antiqua" w:hAnsi="Book Antiqua"/>
        </w:rPr>
        <w:footnoteRef/>
      </w:r>
      <w:r w:rsidRPr="001571D9">
        <w:rPr>
          <w:rFonts w:ascii="Book Antiqua" w:hAnsi="Book Antiqua"/>
        </w:rPr>
        <w:t xml:space="preserve"> </w:t>
      </w:r>
      <w:r w:rsidRPr="001571D9">
        <w:rPr>
          <w:rFonts w:ascii="Book Antiqua" w:hAnsi="Book Antiqua"/>
          <w:color w:val="000000"/>
        </w:rPr>
        <w:t xml:space="preserve">Reglamento (UE) 2019/1700 del Parlamento Europeo y del Consejo de 10 de octubre de 2019 </w:t>
      </w:r>
      <w:r w:rsidRPr="001571D9">
        <w:rPr>
          <w:rFonts w:ascii="Book Antiqua" w:hAnsi="Book Antiqua"/>
          <w:i/>
          <w:color w:val="000000"/>
        </w:rPr>
        <w:t>por el que se establece un marco común para las estadísticas,</w:t>
      </w:r>
      <w:r w:rsidRPr="001571D9">
        <w:rPr>
          <w:rFonts w:ascii="Book Antiqua" w:hAnsi="Book Antiqua"/>
          <w:color w:val="000000"/>
        </w:rPr>
        <w:t xml:space="preserve"> artículo 2, apartado 11: «residencia habitual»: el lugar en que una persona pasa normalmente el tiempo diario de descanso, independientemente de ausencias temporales con fines de ocio, vacaciones, visitas a amigos o parientes, negocios, tratamiento médico o peregrinaje religioso. Se considerarán residentes habituales de una zona geográfica específica únicamente las personas siguientes: a) las que hayan vivido en su lugar de residencia habitual durante un período ininterrumpido de</w:t>
      </w:r>
      <w:r>
        <w:rPr>
          <w:rFonts w:ascii="Book Antiqua" w:hAnsi="Book Antiqua"/>
          <w:color w:val="000000"/>
        </w:rPr>
        <w:t>,</w:t>
      </w:r>
      <w:r w:rsidRPr="001571D9">
        <w:rPr>
          <w:rFonts w:ascii="Book Antiqua" w:hAnsi="Book Antiqua"/>
          <w:color w:val="000000"/>
        </w:rPr>
        <w:t xml:space="preserve"> al menos</w:t>
      </w:r>
      <w:r>
        <w:rPr>
          <w:rFonts w:ascii="Book Antiqua" w:hAnsi="Book Antiqua"/>
          <w:color w:val="000000"/>
        </w:rPr>
        <w:t>,</w:t>
      </w:r>
      <w:r w:rsidRPr="001571D9">
        <w:rPr>
          <w:rFonts w:ascii="Book Antiqua" w:hAnsi="Book Antiqua"/>
          <w:color w:val="000000"/>
        </w:rPr>
        <w:t xml:space="preserve"> doce meses antes del momento de referencia, o bien b) las que hayan llegado a su lugar de residencia habitual durante los doce meses anteriores al momento de referencia con la intención de permanecer en él durante al menos un año. Cuando no se puedan determinar las circunstancias descritas en las letras a) o b), se podrá entender por «residencia habitual» el lugar de residencia legal o registrada.</w:t>
      </w:r>
    </w:p>
  </w:footnote>
  <w:footnote w:id="37">
    <w:p w14:paraId="32D12F16" w14:textId="77777777" w:rsidR="004A00AB" w:rsidRPr="001571D9" w:rsidRDefault="004A00AB" w:rsidP="004A00AB">
      <w:pPr>
        <w:pStyle w:val="Textonotapie"/>
        <w:spacing w:line="360" w:lineRule="auto"/>
        <w:rPr>
          <w:rFonts w:ascii="Book Antiqua" w:hAnsi="Book Antiqua"/>
          <w:i/>
          <w:szCs w:val="24"/>
        </w:rPr>
      </w:pPr>
      <w:r w:rsidRPr="001571D9">
        <w:rPr>
          <w:rStyle w:val="Refdenotaalpie"/>
          <w:rFonts w:ascii="Book Antiqua" w:hAnsi="Book Antiqua"/>
          <w:szCs w:val="24"/>
        </w:rPr>
        <w:footnoteRef/>
      </w:r>
      <w:r w:rsidRPr="001571D9">
        <w:rPr>
          <w:rFonts w:ascii="Book Antiqua" w:hAnsi="Book Antiqua"/>
          <w:szCs w:val="24"/>
        </w:rPr>
        <w:t xml:space="preserve"> Reglamento (UE) n ° 650/2012 del Parlamento Europeo y del Consejo, de 4 de julio de 2012 , </w:t>
      </w:r>
      <w:r w:rsidRPr="001571D9">
        <w:rPr>
          <w:rFonts w:ascii="Book Antiqua" w:hAnsi="Book Antiqua"/>
          <w:i/>
          <w:szCs w:val="24"/>
        </w:rPr>
        <w:t>relativo a la competencia, la ley aplicable, el reconocimiento y la ejecución de las resoluciones, a la aceptación y la ejecución de los documentos públicos en materia de sucesiones mortis causa y a la creación de un certificado sucesorio europeo,</w:t>
      </w:r>
      <w:r w:rsidRPr="001571D9">
        <w:rPr>
          <w:rFonts w:ascii="Book Antiqua" w:hAnsi="Book Antiqua"/>
          <w:szCs w:val="24"/>
        </w:rPr>
        <w:t xml:space="preserve"> señala en su Considerando 23</w:t>
      </w:r>
      <w:r w:rsidRPr="001571D9">
        <w:rPr>
          <w:rFonts w:ascii="Book Antiqua" w:hAnsi="Book Antiqua"/>
          <w:i/>
          <w:szCs w:val="24"/>
        </w:rPr>
        <w:t xml:space="preserve">:  ..el presente Reglamento debe establecer como nexo general, a efectos de la determinación tanto de la competencia como de la ley aplicable, la residencia habitual del causante en el momento del fallecimiento. Con el fin de determinar la residencia habitual, la autoridad que sustancie la sucesión debe proceder a una evaluación general de las circunstancias de la vida del causante durante los años precedentes a su fallecimiento y en el momento </w:t>
      </w:r>
      <w:proofErr w:type="gramStart"/>
      <w:r w:rsidRPr="001571D9">
        <w:rPr>
          <w:rFonts w:ascii="Book Antiqua" w:hAnsi="Book Antiqua"/>
          <w:i/>
          <w:szCs w:val="24"/>
        </w:rPr>
        <w:t>del mismo</w:t>
      </w:r>
      <w:proofErr w:type="gramEnd"/>
      <w:r w:rsidRPr="001571D9">
        <w:rPr>
          <w:rFonts w:ascii="Book Antiqua" w:hAnsi="Book Antiqua"/>
          <w:i/>
          <w:szCs w:val="24"/>
        </w:rPr>
        <w:t xml:space="preserve">, tomando en consideración todos los hechos pertinentes, en particular la duración y la regularidad de la presencia del causante en el Estado de que se trate, así como las condiciones y los motivos de dicha presencia. </w:t>
      </w:r>
    </w:p>
  </w:footnote>
  <w:footnote w:id="38">
    <w:p w14:paraId="1E083649"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Reglamento (UE) n ° 650/2012 del Parlamento Europeo y del Consejo, de 4 de julio de 2012, cit. Considerando 24:  </w:t>
      </w:r>
      <w:r w:rsidRPr="001571D9">
        <w:rPr>
          <w:rFonts w:ascii="Book Antiqua" w:hAnsi="Book Antiqua"/>
          <w:i/>
          <w:szCs w:val="24"/>
        </w:rPr>
        <w:t xml:space="preserve">En algunos casos, determinar la residencia habitual del causante puede revelarse complejo. Tal sería el caso, en particular, cuando por motivos profesionales o económicos el causante hubiese trasladado su domicilio a otro país para trabajar en él, a veces por un período prolongado, pero hubiera mantenido un vínculo estrecho y estable con su Estado de origen. </w:t>
      </w:r>
      <w:r w:rsidRPr="001571D9">
        <w:rPr>
          <w:rFonts w:ascii="Book Antiqua" w:hAnsi="Book Antiqua"/>
          <w:szCs w:val="24"/>
        </w:rPr>
        <w:t>Se podría concluir, siguiendo a Carrascosa González, -Reglamento Sucesorio Europeo y Residencia habitual del causante, Cuadernos de Derecho Transnacional, marzo 2016, vol. 8, nº1, 48. que la residencia habitual es concepto jurídico básico que, como “clave de bóveda”, es preciso definir con precisión, dado que la nacionalidad del sujeto es fácilmente determinable y de difícil modificación, mientras que la residencia habitual es una noción más fáctica que jurídico formal.</w:t>
      </w:r>
    </w:p>
  </w:footnote>
  <w:footnote w:id="39">
    <w:p w14:paraId="3C175973" w14:textId="77777777" w:rsidR="004A00AB" w:rsidRPr="000A1677" w:rsidRDefault="004A00AB" w:rsidP="004A00AB">
      <w:pPr>
        <w:pStyle w:val="Textonotapie"/>
        <w:spacing w:line="360" w:lineRule="auto"/>
        <w:rPr>
          <w:rFonts w:ascii="Book Antiqua" w:hAnsi="Book Antiqua" w:cs="Arial"/>
          <w:szCs w:val="24"/>
        </w:rPr>
      </w:pPr>
      <w:r w:rsidRPr="001571D9">
        <w:rPr>
          <w:rStyle w:val="Refdenotaalpie"/>
          <w:rFonts w:ascii="Book Antiqua" w:hAnsi="Book Antiqua"/>
          <w:szCs w:val="24"/>
        </w:rPr>
        <w:footnoteRef/>
      </w:r>
      <w:r w:rsidRPr="001571D9">
        <w:rPr>
          <w:rFonts w:ascii="Book Antiqua" w:hAnsi="Book Antiqua"/>
          <w:szCs w:val="24"/>
        </w:rPr>
        <w:t xml:space="preserve"> El Reglamento </w:t>
      </w:r>
      <w:proofErr w:type="spellStart"/>
      <w:r w:rsidRPr="001571D9">
        <w:rPr>
          <w:rFonts w:ascii="Book Antiqua" w:hAnsi="Book Antiqua"/>
          <w:szCs w:val="24"/>
        </w:rPr>
        <w:t>nº</w:t>
      </w:r>
      <w:proofErr w:type="spellEnd"/>
      <w:r w:rsidRPr="001571D9">
        <w:rPr>
          <w:rFonts w:ascii="Book Antiqua" w:hAnsi="Book Antiqua"/>
          <w:szCs w:val="24"/>
        </w:rPr>
        <w:t xml:space="preserve"> 1215/2012 del Parlamento Europeo y del Consejo, de 12 de diciembre de 2012, cit., en sus considerandos 15 y 16 prescriben que </w:t>
      </w:r>
      <w:r w:rsidRPr="001571D9">
        <w:rPr>
          <w:rFonts w:ascii="Book Antiqua" w:hAnsi="Book Antiqua"/>
          <w:i/>
          <w:szCs w:val="24"/>
        </w:rPr>
        <w:t xml:space="preserve">la competencia judicial se basa generalmente en el domicilio del </w:t>
      </w:r>
      <w:proofErr w:type="gramStart"/>
      <w:r w:rsidRPr="001571D9">
        <w:rPr>
          <w:rFonts w:ascii="Book Antiqua" w:hAnsi="Book Antiqua"/>
          <w:i/>
          <w:szCs w:val="24"/>
        </w:rPr>
        <w:t>demandado,..</w:t>
      </w:r>
      <w:proofErr w:type="gramEnd"/>
      <w:r w:rsidRPr="001571D9">
        <w:rPr>
          <w:rFonts w:ascii="Book Antiqua" w:hAnsi="Book Antiqua"/>
          <w:i/>
          <w:szCs w:val="24"/>
        </w:rPr>
        <w:t xml:space="preserve"> </w:t>
      </w:r>
      <w:r w:rsidRPr="001571D9">
        <w:rPr>
          <w:rFonts w:ascii="Book Antiqua" w:hAnsi="Book Antiqua"/>
          <w:szCs w:val="24"/>
        </w:rPr>
        <w:t xml:space="preserve">aunque </w:t>
      </w:r>
      <w:r w:rsidRPr="001571D9">
        <w:rPr>
          <w:rFonts w:ascii="Book Antiqua" w:hAnsi="Book Antiqua"/>
          <w:i/>
          <w:szCs w:val="24"/>
        </w:rPr>
        <w:t>El foro del domicilio del demandado debe completarse con otros foros alternativos.</w:t>
      </w:r>
      <w:r w:rsidRPr="001571D9">
        <w:rPr>
          <w:rFonts w:ascii="Book Antiqua" w:hAnsi="Book Antiqua"/>
          <w:szCs w:val="24"/>
        </w:rPr>
        <w:t xml:space="preserve"> En el art. 5 del citado texto sienta el principio general de que cualquiera que sea la nacionalidad, el domicilio marcará los órganos jurisdiccionales competentes. Sobre competencia en materia de seguros, consumidores o trabajadores, vid. arts. 10-22.  </w:t>
      </w:r>
      <w:r>
        <w:rPr>
          <w:rFonts w:ascii="Book Antiqua" w:hAnsi="Book Antiqua"/>
          <w:szCs w:val="24"/>
        </w:rPr>
        <w:t>No llega a remitirse al domicilio, pero protegiendo a los débiles se prescribe en C</w:t>
      </w:r>
      <w:r w:rsidRPr="001571D9">
        <w:rPr>
          <w:rFonts w:ascii="Book Antiqua" w:hAnsi="Book Antiqua"/>
          <w:szCs w:val="24"/>
        </w:rPr>
        <w:t>.3.21.1 (</w:t>
      </w:r>
      <w:proofErr w:type="spellStart"/>
      <w:r w:rsidRPr="001571D9">
        <w:rPr>
          <w:rFonts w:ascii="Book Antiqua" w:hAnsi="Book Antiqua"/>
          <w:i/>
          <w:szCs w:val="24"/>
        </w:rPr>
        <w:t>Dioc.Max</w:t>
      </w:r>
      <w:proofErr w:type="spellEnd"/>
      <w:r w:rsidRPr="001571D9">
        <w:rPr>
          <w:rFonts w:ascii="Book Antiqua" w:hAnsi="Book Antiqua"/>
          <w:i/>
          <w:szCs w:val="24"/>
        </w:rPr>
        <w:t>.</w:t>
      </w:r>
      <w:r w:rsidRPr="001571D9">
        <w:rPr>
          <w:rFonts w:ascii="Book Antiqua" w:hAnsi="Book Antiqua"/>
          <w:szCs w:val="24"/>
        </w:rPr>
        <w:t xml:space="preserve"> 293) </w:t>
      </w:r>
      <w:r>
        <w:rPr>
          <w:rFonts w:ascii="Book Antiqua" w:hAnsi="Book Antiqua"/>
          <w:szCs w:val="24"/>
        </w:rPr>
        <w:t xml:space="preserve">que </w:t>
      </w:r>
      <w:r w:rsidRPr="001571D9">
        <w:rPr>
          <w:rFonts w:ascii="Book Antiqua" w:hAnsi="Book Antiqua"/>
          <w:szCs w:val="24"/>
        </w:rPr>
        <w:t>tanto los tutores como todos aquellos que administran negocios ajenos rindan cuentas donde administraron y no en otro lugar</w:t>
      </w:r>
      <w:r>
        <w:rPr>
          <w:rFonts w:ascii="Book Antiqua" w:hAnsi="Book Antiqua"/>
          <w:szCs w:val="24"/>
        </w:rPr>
        <w:t>, es decir, se les podía demandar, no en su domicilio, sino en donde se realizó la actividad de la que proviene la responsabilidad</w:t>
      </w:r>
      <w:r w:rsidRPr="001571D9">
        <w:rPr>
          <w:rFonts w:ascii="Book Antiqua" w:hAnsi="Book Antiqua"/>
          <w:szCs w:val="24"/>
        </w:rPr>
        <w:t xml:space="preserve">: </w:t>
      </w:r>
      <w:proofErr w:type="spellStart"/>
      <w:r w:rsidRPr="00623E76">
        <w:rPr>
          <w:rFonts w:ascii="Book Antiqua" w:hAnsi="Book Antiqua"/>
          <w:i/>
          <w:szCs w:val="24"/>
        </w:rPr>
        <w:t>Eum</w:t>
      </w:r>
      <w:proofErr w:type="spellEnd"/>
      <w:r w:rsidRPr="00623E76">
        <w:rPr>
          <w:rFonts w:ascii="Book Antiqua" w:hAnsi="Book Antiqua"/>
          <w:i/>
          <w:szCs w:val="24"/>
        </w:rPr>
        <w:t xml:space="preserve">, qui aliena </w:t>
      </w:r>
      <w:proofErr w:type="spellStart"/>
      <w:r w:rsidRPr="00623E76">
        <w:rPr>
          <w:rFonts w:ascii="Book Antiqua" w:hAnsi="Book Antiqua"/>
          <w:i/>
          <w:szCs w:val="24"/>
        </w:rPr>
        <w:t>negotia</w:t>
      </w:r>
      <w:proofErr w:type="spellEnd"/>
      <w:r w:rsidRPr="00623E76">
        <w:rPr>
          <w:rFonts w:ascii="Book Antiqua" w:hAnsi="Book Antiqua"/>
          <w:i/>
          <w:szCs w:val="24"/>
        </w:rPr>
        <w:t xml:space="preserve"> </w:t>
      </w:r>
      <w:proofErr w:type="spellStart"/>
      <w:r w:rsidRPr="00623E76">
        <w:rPr>
          <w:rFonts w:ascii="Book Antiqua" w:hAnsi="Book Antiqua"/>
          <w:i/>
          <w:szCs w:val="24"/>
        </w:rPr>
        <w:t>sive</w:t>
      </w:r>
      <w:proofErr w:type="spellEnd"/>
      <w:r w:rsidRPr="00623E76">
        <w:rPr>
          <w:rFonts w:ascii="Book Antiqua" w:hAnsi="Book Antiqua"/>
          <w:i/>
          <w:szCs w:val="24"/>
        </w:rPr>
        <w:t xml:space="preserve"> ex tutela </w:t>
      </w:r>
      <w:proofErr w:type="spellStart"/>
      <w:r w:rsidRPr="00623E76">
        <w:rPr>
          <w:rFonts w:ascii="Book Antiqua" w:hAnsi="Book Antiqua"/>
          <w:i/>
          <w:szCs w:val="24"/>
        </w:rPr>
        <w:t>sive</w:t>
      </w:r>
      <w:proofErr w:type="spellEnd"/>
      <w:r w:rsidRPr="00623E76">
        <w:rPr>
          <w:rFonts w:ascii="Book Antiqua" w:hAnsi="Book Antiqua"/>
          <w:i/>
          <w:szCs w:val="24"/>
        </w:rPr>
        <w:t xml:space="preserve"> ex </w:t>
      </w:r>
      <w:proofErr w:type="spellStart"/>
      <w:r w:rsidRPr="00623E76">
        <w:rPr>
          <w:rFonts w:ascii="Book Antiqua" w:hAnsi="Book Antiqua"/>
          <w:i/>
          <w:szCs w:val="24"/>
        </w:rPr>
        <w:t>quocunque</w:t>
      </w:r>
      <w:proofErr w:type="spellEnd"/>
      <w:r w:rsidRPr="00623E76">
        <w:rPr>
          <w:rFonts w:ascii="Book Antiqua" w:hAnsi="Book Antiqua"/>
          <w:i/>
          <w:szCs w:val="24"/>
        </w:rPr>
        <w:t xml:space="preserve"> </w:t>
      </w:r>
      <w:proofErr w:type="spellStart"/>
      <w:r w:rsidRPr="00623E76">
        <w:rPr>
          <w:rFonts w:ascii="Book Antiqua" w:hAnsi="Book Antiqua"/>
          <w:i/>
          <w:szCs w:val="24"/>
        </w:rPr>
        <w:t>alio</w:t>
      </w:r>
      <w:proofErr w:type="spellEnd"/>
      <w:r w:rsidRPr="00623E76">
        <w:rPr>
          <w:rFonts w:ascii="Book Antiqua" w:hAnsi="Book Antiqua"/>
          <w:i/>
          <w:szCs w:val="24"/>
        </w:rPr>
        <w:t xml:space="preserve"> </w:t>
      </w:r>
      <w:proofErr w:type="spellStart"/>
      <w:r w:rsidRPr="00623E76">
        <w:rPr>
          <w:rFonts w:ascii="Book Antiqua" w:hAnsi="Book Antiqua"/>
          <w:i/>
          <w:szCs w:val="24"/>
        </w:rPr>
        <w:t>titulo</w:t>
      </w:r>
      <w:proofErr w:type="spellEnd"/>
      <w:r w:rsidRPr="00623E76">
        <w:rPr>
          <w:rFonts w:ascii="Book Antiqua" w:hAnsi="Book Antiqua"/>
          <w:i/>
          <w:szCs w:val="24"/>
        </w:rPr>
        <w:t xml:space="preserve"> </w:t>
      </w:r>
      <w:proofErr w:type="spellStart"/>
      <w:r w:rsidRPr="00623E76">
        <w:rPr>
          <w:rFonts w:ascii="Book Antiqua" w:hAnsi="Book Antiqua"/>
          <w:i/>
          <w:szCs w:val="24"/>
        </w:rPr>
        <w:t>administravit</w:t>
      </w:r>
      <w:proofErr w:type="spellEnd"/>
      <w:r w:rsidRPr="00623E76">
        <w:rPr>
          <w:rFonts w:ascii="Book Antiqua" w:hAnsi="Book Antiqua"/>
          <w:i/>
          <w:szCs w:val="24"/>
        </w:rPr>
        <w:t xml:space="preserve">, </w:t>
      </w:r>
      <w:proofErr w:type="spellStart"/>
      <w:r w:rsidRPr="00623E76">
        <w:rPr>
          <w:rFonts w:ascii="Book Antiqua" w:hAnsi="Book Antiqua"/>
          <w:i/>
          <w:szCs w:val="24"/>
        </w:rPr>
        <w:t>ubi</w:t>
      </w:r>
      <w:proofErr w:type="spellEnd"/>
      <w:r w:rsidRPr="00623E76">
        <w:rPr>
          <w:rFonts w:ascii="Book Antiqua" w:hAnsi="Book Antiqua"/>
          <w:i/>
          <w:szCs w:val="24"/>
        </w:rPr>
        <w:t xml:space="preserve"> hace </w:t>
      </w:r>
      <w:proofErr w:type="spellStart"/>
      <w:r w:rsidRPr="00623E76">
        <w:rPr>
          <w:rFonts w:ascii="Book Antiqua" w:hAnsi="Book Antiqua"/>
          <w:i/>
          <w:szCs w:val="24"/>
        </w:rPr>
        <w:t>gessit</w:t>
      </w:r>
      <w:proofErr w:type="spellEnd"/>
      <w:r w:rsidRPr="00623E76">
        <w:rPr>
          <w:rFonts w:ascii="Book Antiqua" w:hAnsi="Book Antiqua"/>
          <w:i/>
          <w:szCs w:val="24"/>
        </w:rPr>
        <w:t xml:space="preserve">, </w:t>
      </w:r>
      <w:proofErr w:type="spellStart"/>
      <w:r w:rsidRPr="00623E76">
        <w:rPr>
          <w:rFonts w:ascii="Book Antiqua" w:hAnsi="Book Antiqua"/>
          <w:i/>
          <w:szCs w:val="24"/>
        </w:rPr>
        <w:t>rationem</w:t>
      </w:r>
      <w:proofErr w:type="spellEnd"/>
      <w:r w:rsidRPr="00623E76">
        <w:rPr>
          <w:rFonts w:ascii="Book Antiqua" w:hAnsi="Book Antiqua"/>
          <w:i/>
          <w:szCs w:val="24"/>
        </w:rPr>
        <w:t xml:space="preserve"> </w:t>
      </w:r>
      <w:proofErr w:type="spellStart"/>
      <w:r w:rsidRPr="00623E76">
        <w:rPr>
          <w:rFonts w:ascii="Book Antiqua" w:hAnsi="Book Antiqua"/>
          <w:i/>
          <w:szCs w:val="24"/>
        </w:rPr>
        <w:t>oportet</w:t>
      </w:r>
      <w:proofErr w:type="spellEnd"/>
      <w:r w:rsidRPr="00623E76">
        <w:rPr>
          <w:rFonts w:ascii="Book Antiqua" w:hAnsi="Book Antiqua"/>
          <w:i/>
          <w:szCs w:val="24"/>
        </w:rPr>
        <w:t xml:space="preserve"> </w:t>
      </w:r>
      <w:proofErr w:type="spellStart"/>
      <w:r w:rsidRPr="00623E76">
        <w:rPr>
          <w:rFonts w:ascii="Book Antiqua" w:hAnsi="Book Antiqua"/>
          <w:i/>
          <w:szCs w:val="24"/>
        </w:rPr>
        <w:t>reddere</w:t>
      </w:r>
      <w:proofErr w:type="spellEnd"/>
      <w:r w:rsidRPr="00623E76">
        <w:rPr>
          <w:rFonts w:ascii="Book Antiqua" w:hAnsi="Book Antiqua"/>
          <w:i/>
          <w:szCs w:val="24"/>
        </w:rPr>
        <w:t>.</w:t>
      </w:r>
      <w:r w:rsidRPr="001571D9">
        <w:rPr>
          <w:rFonts w:ascii="Book Antiqua" w:hAnsi="Book Antiqua"/>
          <w:szCs w:val="24"/>
        </w:rPr>
        <w:t xml:space="preserve">  </w:t>
      </w:r>
    </w:p>
  </w:footnote>
  <w:footnote w:id="40">
    <w:p w14:paraId="66CF5CD4" w14:textId="77777777" w:rsidR="004A00AB" w:rsidRPr="00623E76" w:rsidRDefault="004A00AB" w:rsidP="004A00AB">
      <w:pPr>
        <w:pStyle w:val="Textonotapie"/>
        <w:spacing w:line="360" w:lineRule="auto"/>
        <w:rPr>
          <w:rFonts w:ascii="Book Antiqua" w:hAnsi="Book Antiqua"/>
          <w:szCs w:val="24"/>
        </w:rPr>
      </w:pPr>
      <w:r w:rsidRPr="001571D9">
        <w:rPr>
          <w:rStyle w:val="Refdenotaalpie"/>
          <w:rFonts w:ascii="Book Antiqua" w:hAnsi="Book Antiqua"/>
          <w:i/>
          <w:szCs w:val="24"/>
        </w:rPr>
        <w:footnoteRef/>
      </w:r>
      <w:r w:rsidRPr="001571D9">
        <w:rPr>
          <w:rFonts w:ascii="Book Antiqua" w:hAnsi="Book Antiqua"/>
          <w:i/>
          <w:szCs w:val="24"/>
        </w:rPr>
        <w:t xml:space="preserve"> </w:t>
      </w:r>
      <w:r w:rsidRPr="001571D9">
        <w:rPr>
          <w:rFonts w:ascii="Book Antiqua" w:hAnsi="Book Antiqua"/>
          <w:szCs w:val="24"/>
        </w:rPr>
        <w:t>En similares términos se expresa el Reglamento en su art.11</w:t>
      </w:r>
      <w:r w:rsidRPr="001571D9">
        <w:rPr>
          <w:rFonts w:ascii="Book Antiqua" w:hAnsi="Book Antiqua"/>
          <w:i/>
          <w:szCs w:val="24"/>
        </w:rPr>
        <w:t xml:space="preserve">: </w:t>
      </w:r>
      <w:r>
        <w:rPr>
          <w:rFonts w:ascii="Book Antiqua" w:hAnsi="Book Antiqua"/>
          <w:i/>
          <w:szCs w:val="24"/>
        </w:rPr>
        <w:t>“</w:t>
      </w:r>
      <w:r w:rsidRPr="00623E76">
        <w:rPr>
          <w:rFonts w:ascii="Book Antiqua" w:hAnsi="Book Antiqua"/>
          <w:szCs w:val="24"/>
        </w:rPr>
        <w:t>El asegurador domiciliado en un Estado miembro podrá ser demandado</w:t>
      </w:r>
      <w:proofErr w:type="gramStart"/>
      <w:r w:rsidRPr="00623E76">
        <w:rPr>
          <w:rFonts w:ascii="Book Antiqua" w:hAnsi="Book Antiqua"/>
          <w:szCs w:val="24"/>
        </w:rPr>
        <w:t xml:space="preserve"> ..</w:t>
      </w:r>
      <w:proofErr w:type="gramEnd"/>
      <w:r w:rsidRPr="00623E76">
        <w:rPr>
          <w:rFonts w:ascii="Book Antiqua" w:hAnsi="Book Antiqua"/>
          <w:szCs w:val="24"/>
        </w:rPr>
        <w:t>donde tenga su domicilio</w:t>
      </w:r>
      <w:r>
        <w:rPr>
          <w:rFonts w:ascii="Book Antiqua" w:hAnsi="Book Antiqua"/>
          <w:szCs w:val="24"/>
        </w:rPr>
        <w:t>”</w:t>
      </w:r>
      <w:r w:rsidRPr="00623E76">
        <w:rPr>
          <w:rFonts w:ascii="Book Antiqua" w:hAnsi="Book Antiqua"/>
          <w:szCs w:val="24"/>
        </w:rPr>
        <w:t xml:space="preserve">, y 22: </w:t>
      </w:r>
      <w:r>
        <w:rPr>
          <w:rFonts w:ascii="Book Antiqua" w:hAnsi="Book Antiqua"/>
          <w:szCs w:val="24"/>
        </w:rPr>
        <w:t>“</w:t>
      </w:r>
      <w:r w:rsidRPr="00623E76">
        <w:rPr>
          <w:rFonts w:ascii="Book Antiqua" w:hAnsi="Book Antiqua"/>
          <w:szCs w:val="24"/>
        </w:rPr>
        <w:t>Los empresarios sólo podrán demandar a los trabajadores ante el órgano jurisdiccional del Estado miembro en el que éstos últimos tengan su domicilio</w:t>
      </w:r>
      <w:r>
        <w:rPr>
          <w:rFonts w:ascii="Book Antiqua" w:hAnsi="Book Antiqua"/>
          <w:szCs w:val="24"/>
        </w:rPr>
        <w:t>”</w:t>
      </w:r>
      <w:r w:rsidRPr="00623E76">
        <w:rPr>
          <w:rFonts w:ascii="Book Antiqua" w:hAnsi="Book Antiqua"/>
          <w:szCs w:val="24"/>
        </w:rPr>
        <w:t>.</w:t>
      </w:r>
    </w:p>
  </w:footnote>
  <w:footnote w:id="41">
    <w:p w14:paraId="3C2918DE"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Reglamento (CE) </w:t>
      </w:r>
      <w:proofErr w:type="spellStart"/>
      <w:r w:rsidRPr="001571D9">
        <w:rPr>
          <w:rFonts w:ascii="Book Antiqua" w:hAnsi="Book Antiqua"/>
          <w:szCs w:val="24"/>
        </w:rPr>
        <w:t>nº</w:t>
      </w:r>
      <w:proofErr w:type="spellEnd"/>
      <w:r w:rsidRPr="001571D9">
        <w:rPr>
          <w:rFonts w:ascii="Book Antiqua" w:hAnsi="Book Antiqua"/>
          <w:szCs w:val="24"/>
        </w:rPr>
        <w:t xml:space="preserve"> 2201/2003 del Consejo de 27 de noviembre de 2003 relativo a la competencia, el reconocimiento y la ejecución de resoluciones judiciales en materia matrimonial y de responsabilidad parental, por el que se deroga el Reglamento (CE) </w:t>
      </w:r>
      <w:proofErr w:type="spellStart"/>
      <w:r w:rsidRPr="001571D9">
        <w:rPr>
          <w:rFonts w:ascii="Book Antiqua" w:hAnsi="Book Antiqua"/>
          <w:szCs w:val="24"/>
        </w:rPr>
        <w:t>nº</w:t>
      </w:r>
      <w:proofErr w:type="spellEnd"/>
      <w:r w:rsidRPr="001571D9">
        <w:rPr>
          <w:rFonts w:ascii="Book Antiqua" w:hAnsi="Book Antiqua"/>
          <w:szCs w:val="24"/>
        </w:rPr>
        <w:t xml:space="preserve"> 1347/2000. Art. 3:” En los asuntos relativos al divorcio, la separación judicial y la nulidad matrimonial, la competencia recaerá en los órganos jurisdiccionales del Estado miembro: a) en cuyo territorio se encuentre: — la residencia habitual de los cónyuges, o — el último lugar de residencia habitual de los cónyuges, siempre que uno de ellos aún resida allí…” </w:t>
      </w:r>
    </w:p>
  </w:footnote>
  <w:footnote w:id="42">
    <w:p w14:paraId="0FABCD0D"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Reglamento (CE) </w:t>
      </w:r>
      <w:proofErr w:type="spellStart"/>
      <w:r w:rsidRPr="001571D9">
        <w:rPr>
          <w:rFonts w:ascii="Book Antiqua" w:hAnsi="Book Antiqua"/>
          <w:szCs w:val="24"/>
        </w:rPr>
        <w:t>Nº</w:t>
      </w:r>
      <w:proofErr w:type="spellEnd"/>
      <w:r w:rsidRPr="001571D9">
        <w:rPr>
          <w:rFonts w:ascii="Book Antiqua" w:hAnsi="Book Antiqua"/>
          <w:szCs w:val="24"/>
        </w:rPr>
        <w:t xml:space="preserve"> 2201/</w:t>
      </w:r>
      <w:proofErr w:type="gramStart"/>
      <w:r w:rsidRPr="001571D9">
        <w:rPr>
          <w:rFonts w:ascii="Book Antiqua" w:hAnsi="Book Antiqua"/>
          <w:szCs w:val="24"/>
        </w:rPr>
        <w:t>2003  cit.</w:t>
      </w:r>
      <w:proofErr w:type="gramEnd"/>
      <w:r w:rsidRPr="001571D9">
        <w:rPr>
          <w:rFonts w:ascii="Book Antiqua" w:hAnsi="Book Antiqua"/>
          <w:szCs w:val="24"/>
        </w:rPr>
        <w:t xml:space="preserve">, Considerando 12: </w:t>
      </w:r>
      <w:r w:rsidRPr="00824476">
        <w:rPr>
          <w:rFonts w:ascii="Book Antiqua" w:hAnsi="Book Antiqua"/>
          <w:i/>
          <w:szCs w:val="24"/>
        </w:rPr>
        <w:t xml:space="preserve">Las normas de competencia que establece el presente Reglamento en materia de responsabilidad parental están concebidas en función del interés superior del menor, y en particular en función del criterio de proximidad. Esto significa por lo tanto que son los órganos jurisdiccionales del Estado miembro en el cual el menor tiene su residencia habitual los que deben ser competentes en primer lugar. </w:t>
      </w:r>
      <w:r w:rsidRPr="00824476">
        <w:rPr>
          <w:rFonts w:ascii="Book Antiqua" w:hAnsi="Book Antiqua"/>
          <w:szCs w:val="24"/>
        </w:rPr>
        <w:t>Vid. artículo 8 sobre residencia de lo</w:t>
      </w:r>
      <w:r w:rsidRPr="001571D9">
        <w:rPr>
          <w:rFonts w:ascii="Book Antiqua" w:hAnsi="Book Antiqua"/>
          <w:szCs w:val="24"/>
        </w:rPr>
        <w:t xml:space="preserve">s menores. </w:t>
      </w:r>
    </w:p>
  </w:footnote>
  <w:footnote w:id="43">
    <w:p w14:paraId="4CE61B60"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C.3,15,</w:t>
      </w:r>
      <w:r w:rsidRPr="00824476">
        <w:rPr>
          <w:rFonts w:ascii="Book Antiqua" w:hAnsi="Book Antiqua"/>
          <w:szCs w:val="24"/>
        </w:rPr>
        <w:t>1 (</w:t>
      </w:r>
      <w:proofErr w:type="spellStart"/>
      <w:r w:rsidRPr="00824476">
        <w:rPr>
          <w:rFonts w:ascii="Book Antiqua" w:hAnsi="Book Antiqua"/>
          <w:i/>
          <w:szCs w:val="24"/>
        </w:rPr>
        <w:t>Sev</w:t>
      </w:r>
      <w:proofErr w:type="spellEnd"/>
      <w:r w:rsidRPr="00824476">
        <w:rPr>
          <w:rFonts w:ascii="Book Antiqua" w:hAnsi="Book Antiqua"/>
          <w:i/>
          <w:szCs w:val="24"/>
        </w:rPr>
        <w:t xml:space="preserve">. </w:t>
      </w:r>
      <w:proofErr w:type="spellStart"/>
      <w:r w:rsidRPr="00824476">
        <w:rPr>
          <w:rFonts w:ascii="Book Antiqua" w:hAnsi="Book Antiqua"/>
          <w:i/>
          <w:szCs w:val="24"/>
        </w:rPr>
        <w:t>Anton</w:t>
      </w:r>
      <w:proofErr w:type="spellEnd"/>
      <w:r w:rsidRPr="00824476">
        <w:rPr>
          <w:rFonts w:ascii="Book Antiqua" w:hAnsi="Book Antiqua"/>
          <w:szCs w:val="24"/>
        </w:rPr>
        <w:t xml:space="preserve">. 196): </w:t>
      </w:r>
      <w:proofErr w:type="spellStart"/>
      <w:r w:rsidRPr="00824476">
        <w:rPr>
          <w:rFonts w:ascii="Book Antiqua" w:hAnsi="Book Antiqua"/>
          <w:i/>
          <w:szCs w:val="24"/>
        </w:rPr>
        <w:t>Quaestiones</w:t>
      </w:r>
      <w:proofErr w:type="spellEnd"/>
      <w:r w:rsidRPr="00824476">
        <w:rPr>
          <w:rFonts w:ascii="Book Antiqua" w:hAnsi="Book Antiqua"/>
          <w:i/>
          <w:szCs w:val="24"/>
        </w:rPr>
        <w:t xml:space="preserve"> </w:t>
      </w:r>
      <w:proofErr w:type="spellStart"/>
      <w:r w:rsidRPr="00824476">
        <w:rPr>
          <w:rFonts w:ascii="Book Antiqua" w:hAnsi="Book Antiqua"/>
          <w:i/>
          <w:szCs w:val="24"/>
        </w:rPr>
        <w:t>eorum</w:t>
      </w:r>
      <w:proofErr w:type="spellEnd"/>
      <w:r w:rsidRPr="00824476">
        <w:rPr>
          <w:rFonts w:ascii="Book Antiqua" w:hAnsi="Book Antiqua"/>
          <w:i/>
          <w:szCs w:val="24"/>
        </w:rPr>
        <w:t xml:space="preserve"> </w:t>
      </w:r>
      <w:proofErr w:type="spellStart"/>
      <w:r w:rsidRPr="00824476">
        <w:rPr>
          <w:rFonts w:ascii="Book Antiqua" w:hAnsi="Book Antiqua"/>
          <w:i/>
          <w:szCs w:val="24"/>
        </w:rPr>
        <w:t>criminum</w:t>
      </w:r>
      <w:proofErr w:type="spellEnd"/>
      <w:r w:rsidRPr="00824476">
        <w:rPr>
          <w:rFonts w:ascii="Book Antiqua" w:hAnsi="Book Antiqua"/>
          <w:i/>
          <w:szCs w:val="24"/>
        </w:rPr>
        <w:t xml:space="preserve">, </w:t>
      </w:r>
      <w:proofErr w:type="spellStart"/>
      <w:r w:rsidRPr="00824476">
        <w:rPr>
          <w:rFonts w:ascii="Book Antiqua" w:hAnsi="Book Antiqua"/>
          <w:i/>
          <w:szCs w:val="24"/>
        </w:rPr>
        <w:t>quae</w:t>
      </w:r>
      <w:proofErr w:type="spellEnd"/>
      <w:r w:rsidRPr="00824476">
        <w:rPr>
          <w:rFonts w:ascii="Book Antiqua" w:hAnsi="Book Antiqua"/>
          <w:i/>
          <w:szCs w:val="24"/>
        </w:rPr>
        <w:t xml:space="preserve"> </w:t>
      </w:r>
      <w:proofErr w:type="spellStart"/>
      <w:r w:rsidRPr="00824476">
        <w:rPr>
          <w:rFonts w:ascii="Book Antiqua" w:hAnsi="Book Antiqua"/>
          <w:i/>
          <w:szCs w:val="24"/>
        </w:rPr>
        <w:t>legibus</w:t>
      </w:r>
      <w:proofErr w:type="spellEnd"/>
      <w:r w:rsidRPr="00824476">
        <w:rPr>
          <w:rFonts w:ascii="Book Antiqua" w:hAnsi="Book Antiqua"/>
          <w:i/>
          <w:szCs w:val="24"/>
        </w:rPr>
        <w:t xml:space="preserve"> </w:t>
      </w:r>
      <w:proofErr w:type="spellStart"/>
      <w:r w:rsidRPr="00824476">
        <w:rPr>
          <w:rFonts w:ascii="Book Antiqua" w:hAnsi="Book Antiqua"/>
          <w:i/>
          <w:szCs w:val="24"/>
        </w:rPr>
        <w:t>aut</w:t>
      </w:r>
      <w:proofErr w:type="spellEnd"/>
      <w:r w:rsidRPr="00824476">
        <w:rPr>
          <w:rFonts w:ascii="Book Antiqua" w:hAnsi="Book Antiqua"/>
          <w:i/>
          <w:szCs w:val="24"/>
        </w:rPr>
        <w:t xml:space="preserve"> extra </w:t>
      </w:r>
      <w:proofErr w:type="spellStart"/>
      <w:r w:rsidRPr="00824476">
        <w:rPr>
          <w:rFonts w:ascii="Book Antiqua" w:hAnsi="Book Antiqua"/>
          <w:i/>
          <w:szCs w:val="24"/>
        </w:rPr>
        <w:t>ordinem</w:t>
      </w:r>
      <w:proofErr w:type="spellEnd"/>
      <w:r w:rsidRPr="00824476">
        <w:rPr>
          <w:rFonts w:ascii="Book Antiqua" w:hAnsi="Book Antiqua"/>
          <w:i/>
          <w:szCs w:val="24"/>
        </w:rPr>
        <w:t xml:space="preserve"> </w:t>
      </w:r>
      <w:proofErr w:type="spellStart"/>
      <w:r w:rsidRPr="00824476">
        <w:rPr>
          <w:rFonts w:ascii="Book Antiqua" w:hAnsi="Book Antiqua"/>
          <w:i/>
          <w:szCs w:val="24"/>
        </w:rPr>
        <w:t>coercentur</w:t>
      </w:r>
      <w:proofErr w:type="spellEnd"/>
      <w:r w:rsidRPr="00824476">
        <w:rPr>
          <w:rFonts w:ascii="Book Antiqua" w:hAnsi="Book Antiqua"/>
          <w:i/>
          <w:szCs w:val="24"/>
        </w:rPr>
        <w:t xml:space="preserve">, </w:t>
      </w:r>
      <w:proofErr w:type="spellStart"/>
      <w:r w:rsidRPr="00824476">
        <w:rPr>
          <w:rFonts w:ascii="Book Antiqua" w:hAnsi="Book Antiqua"/>
          <w:i/>
          <w:szCs w:val="24"/>
        </w:rPr>
        <w:t>ubi</w:t>
      </w:r>
      <w:proofErr w:type="spellEnd"/>
      <w:r w:rsidRPr="00824476">
        <w:rPr>
          <w:rFonts w:ascii="Book Antiqua" w:hAnsi="Book Antiqua"/>
          <w:i/>
          <w:szCs w:val="24"/>
        </w:rPr>
        <w:t xml:space="preserve"> </w:t>
      </w:r>
      <w:proofErr w:type="spellStart"/>
      <w:r w:rsidRPr="00824476">
        <w:rPr>
          <w:rFonts w:ascii="Book Antiqua" w:hAnsi="Book Antiqua"/>
          <w:i/>
          <w:szCs w:val="24"/>
        </w:rPr>
        <w:t>commissa</w:t>
      </w:r>
      <w:proofErr w:type="spellEnd"/>
      <w:r w:rsidRPr="00824476">
        <w:rPr>
          <w:rFonts w:ascii="Book Antiqua" w:hAnsi="Book Antiqua"/>
          <w:i/>
          <w:szCs w:val="24"/>
        </w:rPr>
        <w:t xml:space="preserve"> </w:t>
      </w:r>
      <w:proofErr w:type="spellStart"/>
      <w:r w:rsidRPr="00824476">
        <w:rPr>
          <w:rFonts w:ascii="Book Antiqua" w:hAnsi="Book Antiqua"/>
          <w:i/>
          <w:szCs w:val="24"/>
        </w:rPr>
        <w:t>vel</w:t>
      </w:r>
      <w:proofErr w:type="spellEnd"/>
      <w:r w:rsidRPr="00824476">
        <w:rPr>
          <w:rFonts w:ascii="Book Antiqua" w:hAnsi="Book Antiqua"/>
          <w:i/>
          <w:szCs w:val="24"/>
        </w:rPr>
        <w:t xml:space="preserve"> </w:t>
      </w:r>
      <w:proofErr w:type="spellStart"/>
      <w:r w:rsidRPr="00824476">
        <w:rPr>
          <w:rFonts w:ascii="Book Antiqua" w:hAnsi="Book Antiqua"/>
          <w:i/>
          <w:szCs w:val="24"/>
        </w:rPr>
        <w:t>inchoata</w:t>
      </w:r>
      <w:proofErr w:type="spellEnd"/>
      <w:r w:rsidRPr="00824476">
        <w:rPr>
          <w:rFonts w:ascii="Book Antiqua" w:hAnsi="Book Antiqua"/>
          <w:i/>
          <w:szCs w:val="24"/>
        </w:rPr>
        <w:t xml:space="preserve"> sunt, </w:t>
      </w:r>
      <w:proofErr w:type="spellStart"/>
      <w:r w:rsidRPr="00824476">
        <w:rPr>
          <w:rFonts w:ascii="Book Antiqua" w:hAnsi="Book Antiqua"/>
          <w:i/>
          <w:szCs w:val="24"/>
        </w:rPr>
        <w:t>vel</w:t>
      </w:r>
      <w:proofErr w:type="spellEnd"/>
      <w:r w:rsidRPr="00824476">
        <w:rPr>
          <w:rFonts w:ascii="Book Antiqua" w:hAnsi="Book Antiqua"/>
          <w:i/>
          <w:szCs w:val="24"/>
        </w:rPr>
        <w:t xml:space="preserve"> </w:t>
      </w:r>
      <w:proofErr w:type="spellStart"/>
      <w:r w:rsidRPr="00824476">
        <w:rPr>
          <w:rFonts w:ascii="Book Antiqua" w:hAnsi="Book Antiqua"/>
          <w:i/>
          <w:szCs w:val="24"/>
        </w:rPr>
        <w:t>ubi</w:t>
      </w:r>
      <w:proofErr w:type="spellEnd"/>
      <w:r w:rsidRPr="00824476">
        <w:rPr>
          <w:rFonts w:ascii="Book Antiqua" w:hAnsi="Book Antiqua"/>
          <w:i/>
          <w:szCs w:val="24"/>
        </w:rPr>
        <w:t xml:space="preserve"> </w:t>
      </w:r>
      <w:proofErr w:type="spellStart"/>
      <w:r w:rsidRPr="00824476">
        <w:rPr>
          <w:rFonts w:ascii="Book Antiqua" w:hAnsi="Book Antiqua"/>
          <w:i/>
          <w:szCs w:val="24"/>
        </w:rPr>
        <w:t>reperiuntur</w:t>
      </w:r>
      <w:proofErr w:type="spellEnd"/>
      <w:r w:rsidRPr="00824476">
        <w:rPr>
          <w:rFonts w:ascii="Book Antiqua" w:hAnsi="Book Antiqua"/>
          <w:i/>
          <w:szCs w:val="24"/>
        </w:rPr>
        <w:t xml:space="preserve">, qui </w:t>
      </w:r>
      <w:proofErr w:type="spellStart"/>
      <w:r w:rsidRPr="00824476">
        <w:rPr>
          <w:rFonts w:ascii="Book Antiqua" w:hAnsi="Book Antiqua"/>
          <w:i/>
          <w:szCs w:val="24"/>
        </w:rPr>
        <w:t>rei</w:t>
      </w:r>
      <w:proofErr w:type="spellEnd"/>
      <w:r w:rsidRPr="00824476">
        <w:rPr>
          <w:rFonts w:ascii="Book Antiqua" w:hAnsi="Book Antiqua"/>
          <w:i/>
          <w:szCs w:val="24"/>
        </w:rPr>
        <w:t xml:space="preserve"> ese </w:t>
      </w:r>
      <w:proofErr w:type="spellStart"/>
      <w:r w:rsidRPr="00824476">
        <w:rPr>
          <w:rFonts w:ascii="Book Antiqua" w:hAnsi="Book Antiqua"/>
          <w:i/>
          <w:szCs w:val="24"/>
        </w:rPr>
        <w:t>perhibentur</w:t>
      </w:r>
      <w:proofErr w:type="spellEnd"/>
      <w:r w:rsidRPr="00824476">
        <w:rPr>
          <w:rFonts w:ascii="Book Antiqua" w:hAnsi="Book Antiqua"/>
          <w:i/>
          <w:szCs w:val="24"/>
        </w:rPr>
        <w:t xml:space="preserve"> </w:t>
      </w:r>
      <w:proofErr w:type="spellStart"/>
      <w:r w:rsidRPr="00824476">
        <w:rPr>
          <w:rFonts w:ascii="Book Antiqua" w:hAnsi="Book Antiqua"/>
          <w:i/>
          <w:szCs w:val="24"/>
        </w:rPr>
        <w:t>criminis</w:t>
      </w:r>
      <w:proofErr w:type="spellEnd"/>
      <w:r w:rsidRPr="00824476">
        <w:rPr>
          <w:rFonts w:ascii="Book Antiqua" w:hAnsi="Book Antiqua"/>
          <w:i/>
          <w:szCs w:val="24"/>
        </w:rPr>
        <w:t xml:space="preserve">, </w:t>
      </w:r>
      <w:proofErr w:type="spellStart"/>
      <w:r w:rsidRPr="00824476">
        <w:rPr>
          <w:rFonts w:ascii="Book Antiqua" w:hAnsi="Book Antiqua"/>
          <w:i/>
          <w:szCs w:val="24"/>
        </w:rPr>
        <w:t>perfici</w:t>
      </w:r>
      <w:proofErr w:type="spellEnd"/>
      <w:r w:rsidRPr="00824476">
        <w:rPr>
          <w:rFonts w:ascii="Book Antiqua" w:hAnsi="Book Antiqua"/>
          <w:i/>
          <w:szCs w:val="24"/>
        </w:rPr>
        <w:t xml:space="preserve"> </w:t>
      </w:r>
      <w:proofErr w:type="spellStart"/>
      <w:r w:rsidRPr="00824476">
        <w:rPr>
          <w:rFonts w:ascii="Book Antiqua" w:hAnsi="Book Antiqua"/>
          <w:i/>
          <w:szCs w:val="24"/>
        </w:rPr>
        <w:t>debere</w:t>
      </w:r>
      <w:proofErr w:type="spellEnd"/>
      <w:r w:rsidRPr="00824476">
        <w:rPr>
          <w:rFonts w:ascii="Book Antiqua" w:hAnsi="Book Antiqua"/>
          <w:i/>
          <w:szCs w:val="24"/>
        </w:rPr>
        <w:t xml:space="preserve">, satis </w:t>
      </w:r>
      <w:proofErr w:type="spellStart"/>
      <w:r w:rsidRPr="00824476">
        <w:rPr>
          <w:rFonts w:ascii="Book Antiqua" w:hAnsi="Book Antiqua"/>
          <w:i/>
          <w:szCs w:val="24"/>
        </w:rPr>
        <w:t>notum</w:t>
      </w:r>
      <w:proofErr w:type="spellEnd"/>
      <w:r w:rsidRPr="00824476">
        <w:rPr>
          <w:rFonts w:ascii="Book Antiqua" w:hAnsi="Book Antiqua"/>
          <w:i/>
          <w:szCs w:val="24"/>
        </w:rPr>
        <w:t xml:space="preserve"> </w:t>
      </w:r>
      <w:proofErr w:type="spellStart"/>
      <w:r w:rsidRPr="00824476">
        <w:rPr>
          <w:rFonts w:ascii="Book Antiqua" w:hAnsi="Book Antiqua"/>
          <w:i/>
          <w:szCs w:val="24"/>
        </w:rPr>
        <w:t>est</w:t>
      </w:r>
      <w:proofErr w:type="spellEnd"/>
      <w:r w:rsidRPr="00824476">
        <w:rPr>
          <w:rFonts w:ascii="Book Antiqua" w:hAnsi="Book Antiqua"/>
          <w:i/>
          <w:szCs w:val="24"/>
        </w:rPr>
        <w:t>.</w:t>
      </w:r>
    </w:p>
  </w:footnote>
  <w:footnote w:id="44">
    <w:p w14:paraId="32B51FCC"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Esta constitución puede estar interpolada, vid. </w:t>
      </w:r>
      <w:r w:rsidRPr="00D14817">
        <w:rPr>
          <w:rFonts w:ascii="Book Antiqua" w:hAnsi="Book Antiqua"/>
          <w:szCs w:val="24"/>
          <w:lang w:val="en-US"/>
        </w:rPr>
        <w:t xml:space="preserve">MOMMSEN, TH., </w:t>
      </w:r>
      <w:r w:rsidRPr="00D14817">
        <w:rPr>
          <w:rFonts w:ascii="Book Antiqua" w:hAnsi="Book Antiqua"/>
          <w:i/>
          <w:szCs w:val="24"/>
          <w:lang w:val="en-US"/>
        </w:rPr>
        <w:t>Le droit penal romaine</w:t>
      </w:r>
      <w:r w:rsidRPr="00D14817">
        <w:rPr>
          <w:rFonts w:ascii="Book Antiqua" w:hAnsi="Book Antiqua"/>
          <w:szCs w:val="24"/>
          <w:lang w:val="en-US"/>
        </w:rPr>
        <w:t xml:space="preserve">, trad. </w:t>
      </w:r>
      <w:proofErr w:type="spellStart"/>
      <w:r w:rsidRPr="001571D9">
        <w:rPr>
          <w:rFonts w:ascii="Book Antiqua" w:hAnsi="Book Antiqua"/>
          <w:szCs w:val="24"/>
        </w:rPr>
        <w:t>Duquesne</w:t>
      </w:r>
      <w:proofErr w:type="spellEnd"/>
      <w:r w:rsidRPr="001571D9">
        <w:rPr>
          <w:rFonts w:ascii="Book Antiqua" w:hAnsi="Book Antiqua"/>
          <w:szCs w:val="24"/>
        </w:rPr>
        <w:t xml:space="preserve">, J., París, 1907, p.25, n.3. En contra de que los acusados de delito fuesen juzgados en su domicilio </w:t>
      </w:r>
      <w:proofErr w:type="spellStart"/>
      <w:r w:rsidRPr="004B2C54">
        <w:rPr>
          <w:rFonts w:ascii="Book Antiqua" w:hAnsi="Book Antiqua"/>
          <w:i/>
          <w:szCs w:val="24"/>
        </w:rPr>
        <w:t>Ulp</w:t>
      </w:r>
      <w:proofErr w:type="spellEnd"/>
      <w:r w:rsidRPr="001571D9">
        <w:rPr>
          <w:rFonts w:ascii="Book Antiqua" w:hAnsi="Book Antiqua"/>
          <w:szCs w:val="24"/>
        </w:rPr>
        <w:t xml:space="preserve">. </w:t>
      </w:r>
      <w:r w:rsidRPr="001571D9">
        <w:rPr>
          <w:rFonts w:ascii="Book Antiqua" w:hAnsi="Book Antiqua"/>
          <w:i/>
          <w:szCs w:val="24"/>
        </w:rPr>
        <w:t xml:space="preserve">de </w:t>
      </w:r>
      <w:proofErr w:type="spellStart"/>
      <w:r w:rsidRPr="001571D9">
        <w:rPr>
          <w:rFonts w:ascii="Book Antiqua" w:hAnsi="Book Antiqua"/>
          <w:i/>
          <w:szCs w:val="24"/>
        </w:rPr>
        <w:t>adult</w:t>
      </w:r>
      <w:proofErr w:type="spellEnd"/>
      <w:r w:rsidRPr="001571D9">
        <w:rPr>
          <w:rFonts w:ascii="Book Antiqua" w:hAnsi="Book Antiqua"/>
          <w:szCs w:val="24"/>
        </w:rPr>
        <w:t xml:space="preserve">. D.  48.2.7.4. y </w:t>
      </w:r>
      <w:proofErr w:type="spellStart"/>
      <w:r w:rsidRPr="004B2C54">
        <w:rPr>
          <w:rFonts w:ascii="Book Antiqua" w:hAnsi="Book Antiqua"/>
          <w:i/>
          <w:szCs w:val="24"/>
        </w:rPr>
        <w:t>Macer</w:t>
      </w:r>
      <w:proofErr w:type="spellEnd"/>
      <w:r w:rsidRPr="001571D9">
        <w:rPr>
          <w:rFonts w:ascii="Book Antiqua" w:hAnsi="Book Antiqua"/>
          <w:szCs w:val="24"/>
        </w:rPr>
        <w:t xml:space="preserve">, </w:t>
      </w:r>
      <w:r w:rsidRPr="001571D9">
        <w:rPr>
          <w:rFonts w:ascii="Book Antiqua" w:hAnsi="Book Antiqua"/>
          <w:i/>
          <w:szCs w:val="24"/>
        </w:rPr>
        <w:t xml:space="preserve">de off. </w:t>
      </w:r>
      <w:proofErr w:type="spellStart"/>
      <w:r w:rsidRPr="001571D9">
        <w:rPr>
          <w:rFonts w:ascii="Book Antiqua" w:hAnsi="Book Antiqua"/>
          <w:i/>
          <w:szCs w:val="24"/>
        </w:rPr>
        <w:t>Praes</w:t>
      </w:r>
      <w:proofErr w:type="spellEnd"/>
      <w:r w:rsidRPr="001571D9">
        <w:rPr>
          <w:rFonts w:ascii="Book Antiqua" w:hAnsi="Book Antiqua"/>
          <w:szCs w:val="24"/>
        </w:rPr>
        <w:t>.</w:t>
      </w:r>
      <w:r>
        <w:rPr>
          <w:rFonts w:ascii="Book Antiqua" w:hAnsi="Book Antiqua"/>
          <w:szCs w:val="24"/>
        </w:rPr>
        <w:t xml:space="preserve"> </w:t>
      </w:r>
      <w:r w:rsidRPr="001571D9">
        <w:rPr>
          <w:rFonts w:ascii="Book Antiqua" w:hAnsi="Book Antiqua"/>
          <w:szCs w:val="24"/>
        </w:rPr>
        <w:t>D.48.3.7.</w:t>
      </w:r>
    </w:p>
  </w:footnote>
  <w:footnote w:id="45">
    <w:p w14:paraId="69919A7E"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Para MOMMSEN, TH. </w:t>
      </w:r>
      <w:proofErr w:type="gramStart"/>
      <w:r w:rsidRPr="001571D9">
        <w:rPr>
          <w:rFonts w:ascii="Book Antiqua" w:hAnsi="Book Antiqua"/>
          <w:szCs w:val="24"/>
        </w:rPr>
        <w:t>La palabras</w:t>
      </w:r>
      <w:proofErr w:type="gramEnd"/>
      <w:r w:rsidRPr="001571D9">
        <w:rPr>
          <w:rFonts w:ascii="Book Antiqua" w:hAnsi="Book Antiqua"/>
          <w:szCs w:val="24"/>
        </w:rPr>
        <w:t xml:space="preserve"> crimen jamás se utilizó en acciones de tipo puramente patrimonial;</w:t>
      </w:r>
      <w:r>
        <w:rPr>
          <w:rFonts w:ascii="Book Antiqua" w:hAnsi="Book Antiqua"/>
          <w:szCs w:val="24"/>
        </w:rPr>
        <w:t xml:space="preserve"> </w:t>
      </w:r>
      <w:r w:rsidRPr="001571D9">
        <w:rPr>
          <w:rFonts w:ascii="Book Antiqua" w:hAnsi="Book Antiqua"/>
          <w:szCs w:val="24"/>
        </w:rPr>
        <w:t xml:space="preserve">vid. </w:t>
      </w:r>
      <w:r w:rsidRPr="001571D9">
        <w:rPr>
          <w:rFonts w:ascii="Book Antiqua" w:hAnsi="Book Antiqua"/>
          <w:i/>
          <w:szCs w:val="24"/>
        </w:rPr>
        <w:t xml:space="preserve">Le </w:t>
      </w:r>
      <w:proofErr w:type="spellStart"/>
      <w:r w:rsidRPr="001571D9">
        <w:rPr>
          <w:rFonts w:ascii="Book Antiqua" w:hAnsi="Book Antiqua"/>
          <w:i/>
          <w:szCs w:val="24"/>
        </w:rPr>
        <w:t>droit</w:t>
      </w:r>
      <w:proofErr w:type="spellEnd"/>
      <w:r w:rsidRPr="001571D9">
        <w:rPr>
          <w:rFonts w:ascii="Book Antiqua" w:hAnsi="Book Antiqua"/>
          <w:i/>
          <w:szCs w:val="24"/>
        </w:rPr>
        <w:t xml:space="preserve"> penal </w:t>
      </w:r>
      <w:proofErr w:type="spellStart"/>
      <w:r w:rsidRPr="001571D9">
        <w:rPr>
          <w:rFonts w:ascii="Book Antiqua" w:hAnsi="Book Antiqua"/>
          <w:i/>
          <w:szCs w:val="24"/>
        </w:rPr>
        <w:t>romaine</w:t>
      </w:r>
      <w:proofErr w:type="spellEnd"/>
      <w:r w:rsidRPr="001571D9">
        <w:rPr>
          <w:rFonts w:ascii="Book Antiqua" w:hAnsi="Book Antiqua"/>
          <w:szCs w:val="24"/>
        </w:rPr>
        <w:t xml:space="preserve">, </w:t>
      </w:r>
      <w:proofErr w:type="spellStart"/>
      <w:r>
        <w:rPr>
          <w:rFonts w:ascii="Book Antiqua" w:hAnsi="Book Antiqua"/>
          <w:szCs w:val="24"/>
        </w:rPr>
        <w:t>op</w:t>
      </w:r>
      <w:proofErr w:type="spellEnd"/>
      <w:r>
        <w:rPr>
          <w:rFonts w:ascii="Book Antiqua" w:hAnsi="Book Antiqua"/>
          <w:szCs w:val="24"/>
        </w:rPr>
        <w:t xml:space="preserve">. </w:t>
      </w:r>
      <w:r w:rsidRPr="001571D9">
        <w:rPr>
          <w:rFonts w:ascii="Book Antiqua" w:hAnsi="Book Antiqua"/>
          <w:szCs w:val="24"/>
        </w:rPr>
        <w:t xml:space="preserve">cit. p.10. </w:t>
      </w:r>
    </w:p>
  </w:footnote>
  <w:footnote w:id="46">
    <w:p w14:paraId="11E0B542"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w:t>
      </w:r>
      <w:proofErr w:type="gramStart"/>
      <w:r w:rsidRPr="001571D9">
        <w:rPr>
          <w:rFonts w:ascii="Book Antiqua" w:hAnsi="Book Antiqua"/>
          <w:szCs w:val="24"/>
        </w:rPr>
        <w:t>Sobre  responsabilidad</w:t>
      </w:r>
      <w:proofErr w:type="gramEnd"/>
      <w:r w:rsidRPr="001571D9">
        <w:rPr>
          <w:rFonts w:ascii="Book Antiqua" w:hAnsi="Book Antiqua"/>
          <w:szCs w:val="24"/>
        </w:rPr>
        <w:t xml:space="preserve"> aquiliana vid. </w:t>
      </w:r>
      <w:proofErr w:type="spellStart"/>
      <w:r w:rsidRPr="001571D9">
        <w:rPr>
          <w:rFonts w:ascii="Book Antiqua" w:hAnsi="Book Antiqua"/>
          <w:szCs w:val="24"/>
        </w:rPr>
        <w:t>ANKUM</w:t>
      </w:r>
      <w:proofErr w:type="spellEnd"/>
      <w:r w:rsidRPr="001571D9">
        <w:rPr>
          <w:rFonts w:ascii="Book Antiqua" w:hAnsi="Book Antiqua"/>
          <w:szCs w:val="24"/>
        </w:rPr>
        <w:t xml:space="preserve">, H., “La </w:t>
      </w:r>
      <w:proofErr w:type="spellStart"/>
      <w:r w:rsidRPr="001571D9">
        <w:rPr>
          <w:rFonts w:ascii="Book Antiqua" w:hAnsi="Book Antiqua"/>
          <w:szCs w:val="24"/>
        </w:rPr>
        <w:t>actio</w:t>
      </w:r>
      <w:proofErr w:type="spellEnd"/>
      <w:r w:rsidRPr="001571D9">
        <w:rPr>
          <w:rFonts w:ascii="Book Antiqua" w:hAnsi="Book Antiqua"/>
          <w:szCs w:val="24"/>
        </w:rPr>
        <w:t xml:space="preserve"> </w:t>
      </w:r>
      <w:proofErr w:type="spellStart"/>
      <w:r w:rsidRPr="001571D9">
        <w:rPr>
          <w:rFonts w:ascii="Book Antiqua" w:hAnsi="Book Antiqua"/>
          <w:szCs w:val="24"/>
        </w:rPr>
        <w:t>legis</w:t>
      </w:r>
      <w:proofErr w:type="spellEnd"/>
      <w:r w:rsidRPr="001571D9">
        <w:rPr>
          <w:rFonts w:ascii="Book Antiqua" w:hAnsi="Book Antiqua"/>
          <w:szCs w:val="24"/>
        </w:rPr>
        <w:t xml:space="preserve"> </w:t>
      </w:r>
      <w:proofErr w:type="spellStart"/>
      <w:r w:rsidRPr="001571D9">
        <w:rPr>
          <w:rFonts w:ascii="Book Antiqua" w:hAnsi="Book Antiqua"/>
          <w:szCs w:val="24"/>
        </w:rPr>
        <w:t>aquiliae</w:t>
      </w:r>
      <w:proofErr w:type="spellEnd"/>
      <w:r w:rsidRPr="001571D9">
        <w:rPr>
          <w:rFonts w:ascii="Book Antiqua" w:hAnsi="Book Antiqua"/>
          <w:i/>
          <w:szCs w:val="24"/>
        </w:rPr>
        <w:t>”</w:t>
      </w:r>
      <w:r w:rsidRPr="001571D9">
        <w:rPr>
          <w:rFonts w:ascii="Book Antiqua" w:hAnsi="Book Antiqua"/>
          <w:szCs w:val="24"/>
        </w:rPr>
        <w:t>, en  </w:t>
      </w:r>
      <w:hyperlink r:id="rId1" w:history="1">
        <w:r w:rsidRPr="001571D9">
          <w:rPr>
            <w:rFonts w:ascii="Book Antiqua" w:hAnsi="Book Antiqua"/>
            <w:i/>
            <w:szCs w:val="24"/>
            <w:bdr w:val="none" w:sz="0" w:space="0" w:color="auto" w:frame="1"/>
          </w:rPr>
          <w:t>Revista jurídica de Asturias</w:t>
        </w:r>
      </w:hyperlink>
      <w:r w:rsidRPr="001571D9">
        <w:rPr>
          <w:rFonts w:ascii="Book Antiqua" w:hAnsi="Book Antiqua"/>
          <w:i/>
          <w:szCs w:val="24"/>
          <w:bdr w:val="none" w:sz="0" w:space="0" w:color="auto" w:frame="1"/>
        </w:rPr>
        <w:t>,</w:t>
      </w:r>
      <w:r w:rsidRPr="001571D9">
        <w:rPr>
          <w:rFonts w:ascii="Book Antiqua" w:hAnsi="Book Antiqua"/>
          <w:szCs w:val="24"/>
          <w:bdr w:val="none" w:sz="0" w:space="0" w:color="auto" w:frame="1"/>
        </w:rPr>
        <w:t> </w:t>
      </w:r>
      <w:proofErr w:type="spellStart"/>
      <w:r w:rsidR="00AB63CF">
        <w:fldChar w:fldCharType="begin"/>
      </w:r>
      <w:r w:rsidR="00AB63CF">
        <w:instrText xml:space="preserve"> HYPERLINK "https://dialnet.unirioja.es/ejemplar/297749" </w:instrText>
      </w:r>
      <w:r w:rsidR="00AB63CF">
        <w:fldChar w:fldCharType="separate"/>
      </w:r>
      <w:r w:rsidRPr="001571D9">
        <w:rPr>
          <w:rFonts w:ascii="Book Antiqua" w:hAnsi="Book Antiqua"/>
          <w:szCs w:val="24"/>
          <w:bdr w:val="none" w:sz="0" w:space="0" w:color="auto" w:frame="1"/>
        </w:rPr>
        <w:t>nº</w:t>
      </w:r>
      <w:proofErr w:type="spellEnd"/>
      <w:r w:rsidRPr="001571D9">
        <w:rPr>
          <w:rFonts w:ascii="Book Antiqua" w:hAnsi="Book Antiqua"/>
          <w:szCs w:val="24"/>
          <w:bdr w:val="none" w:sz="0" w:space="0" w:color="auto" w:frame="1"/>
        </w:rPr>
        <w:t xml:space="preserve"> 10-11, 1987-1988</w:t>
      </w:r>
      <w:r w:rsidR="00AB63CF">
        <w:rPr>
          <w:rFonts w:ascii="Book Antiqua" w:hAnsi="Book Antiqua"/>
          <w:szCs w:val="24"/>
          <w:bdr w:val="none" w:sz="0" w:space="0" w:color="auto" w:frame="1"/>
        </w:rPr>
        <w:fldChar w:fldCharType="end"/>
      </w:r>
      <w:r w:rsidRPr="001571D9">
        <w:rPr>
          <w:rFonts w:ascii="Book Antiqua" w:hAnsi="Book Antiqua"/>
          <w:szCs w:val="24"/>
          <w:bdr w:val="none" w:sz="0" w:space="0" w:color="auto" w:frame="1"/>
        </w:rPr>
        <w:t>, pp. 231-244; CASTRESANA HERRERO, E., Nuevas lecturas de la responsabilidad aquiliana, Salamanca, 2001</w:t>
      </w:r>
    </w:p>
  </w:footnote>
  <w:footnote w:id="47">
    <w:p w14:paraId="74966483"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Nov.</w:t>
      </w:r>
      <w:r>
        <w:rPr>
          <w:rFonts w:ascii="Book Antiqua" w:hAnsi="Book Antiqua"/>
          <w:szCs w:val="24"/>
        </w:rPr>
        <w:t xml:space="preserve"> </w:t>
      </w:r>
      <w:r w:rsidRPr="001571D9">
        <w:rPr>
          <w:rFonts w:ascii="Book Antiqua" w:hAnsi="Book Antiqua"/>
          <w:szCs w:val="24"/>
        </w:rPr>
        <w:t>69 (Const. 73), cap.I.pr.; En C.3.13.5 (</w:t>
      </w:r>
      <w:r w:rsidRPr="001571D9">
        <w:rPr>
          <w:rFonts w:ascii="Book Antiqua" w:hAnsi="Book Antiqua"/>
          <w:i/>
          <w:szCs w:val="24"/>
        </w:rPr>
        <w:t xml:space="preserve">Arc. </w:t>
      </w:r>
      <w:proofErr w:type="spellStart"/>
      <w:r w:rsidRPr="001571D9">
        <w:rPr>
          <w:rFonts w:ascii="Book Antiqua" w:hAnsi="Book Antiqua"/>
          <w:i/>
          <w:szCs w:val="24"/>
        </w:rPr>
        <w:t>Hon</w:t>
      </w:r>
      <w:proofErr w:type="spellEnd"/>
      <w:r w:rsidRPr="001571D9">
        <w:rPr>
          <w:rFonts w:ascii="Book Antiqua" w:hAnsi="Book Antiqua"/>
          <w:szCs w:val="24"/>
        </w:rPr>
        <w:t xml:space="preserve">. 397) se prohíbe tramitar procedimientos ante jueces incompetentes, señalando que en las causas criminales siga el acusador el fuero del reo.  </w:t>
      </w:r>
    </w:p>
  </w:footnote>
  <w:footnote w:id="48">
    <w:p w14:paraId="489AF6FE" w14:textId="77777777" w:rsidR="004A00AB" w:rsidRPr="00BC6C8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Reglamento </w:t>
      </w:r>
      <w:r>
        <w:rPr>
          <w:rFonts w:ascii="Book Antiqua" w:hAnsi="Book Antiqua"/>
          <w:szCs w:val="24"/>
        </w:rPr>
        <w:t>Roma II</w:t>
      </w:r>
      <w:r w:rsidRPr="001571D9">
        <w:rPr>
          <w:rFonts w:ascii="Book Antiqua" w:hAnsi="Book Antiqua"/>
          <w:szCs w:val="24"/>
        </w:rPr>
        <w:t xml:space="preserve">, Considerando 15: </w:t>
      </w:r>
      <w:r w:rsidRPr="001571D9">
        <w:rPr>
          <w:rFonts w:ascii="Book Antiqua" w:hAnsi="Book Antiqua"/>
          <w:i/>
          <w:szCs w:val="24"/>
        </w:rPr>
        <w:t xml:space="preserve">Si bien el principio de lex loci </w:t>
      </w:r>
      <w:proofErr w:type="spellStart"/>
      <w:r w:rsidRPr="001571D9">
        <w:rPr>
          <w:rFonts w:ascii="Book Antiqua" w:hAnsi="Book Antiqua"/>
          <w:i/>
          <w:szCs w:val="24"/>
        </w:rPr>
        <w:t>delicti</w:t>
      </w:r>
      <w:proofErr w:type="spellEnd"/>
      <w:r w:rsidRPr="001571D9">
        <w:rPr>
          <w:rFonts w:ascii="Book Antiqua" w:hAnsi="Book Antiqua"/>
          <w:i/>
          <w:szCs w:val="24"/>
        </w:rPr>
        <w:t xml:space="preserve"> </w:t>
      </w:r>
      <w:proofErr w:type="spellStart"/>
      <w:r w:rsidRPr="001571D9">
        <w:rPr>
          <w:rFonts w:ascii="Book Antiqua" w:hAnsi="Book Antiqua"/>
          <w:i/>
          <w:szCs w:val="24"/>
        </w:rPr>
        <w:t>commissi</w:t>
      </w:r>
      <w:proofErr w:type="spellEnd"/>
      <w:r w:rsidRPr="001571D9">
        <w:rPr>
          <w:rFonts w:ascii="Book Antiqua" w:hAnsi="Book Antiqua"/>
          <w:i/>
          <w:szCs w:val="24"/>
        </w:rPr>
        <w:t xml:space="preserve"> constituye la solución básica en cuanto a obligaciones extracontractuales en la casi totalidad de los Estados miembros, la aplicación práctica de este principio en caso de dispersión de elementos en varios países varía.</w:t>
      </w:r>
      <w:r>
        <w:rPr>
          <w:rFonts w:ascii="Book Antiqua" w:hAnsi="Book Antiqua"/>
          <w:i/>
          <w:szCs w:val="24"/>
        </w:rPr>
        <w:t xml:space="preserve"> </w:t>
      </w:r>
      <w:r>
        <w:rPr>
          <w:rFonts w:ascii="Book Antiqua" w:hAnsi="Book Antiqua"/>
          <w:szCs w:val="24"/>
        </w:rPr>
        <w:t>Sobre régimen de las obligaciones extracontractuales, vid. CALVO CARAVACA, A, L. y CARRASCOSA GONZÁLEZ, J.,</w:t>
      </w:r>
      <w:r>
        <w:rPr>
          <w:rFonts w:ascii="Book Antiqua" w:hAnsi="Book Antiqua"/>
          <w:szCs w:val="24"/>
          <w:shd w:val="clear" w:color="auto" w:fill="FFFFFF"/>
        </w:rPr>
        <w:t xml:space="preserve"> </w:t>
      </w:r>
      <w:r w:rsidRPr="000A1677">
        <w:rPr>
          <w:rFonts w:ascii="Book Antiqua" w:hAnsi="Book Antiqua"/>
          <w:i/>
          <w:szCs w:val="24"/>
          <w:shd w:val="clear" w:color="auto" w:fill="FFFFFF"/>
        </w:rPr>
        <w:t>Las obligaciones extracontractuales en Derecho internacional privado. El Reglamento “Roma II”</w:t>
      </w:r>
      <w:r w:rsidRPr="00BC6C89">
        <w:rPr>
          <w:rFonts w:ascii="Book Antiqua" w:hAnsi="Book Antiqua"/>
          <w:szCs w:val="24"/>
          <w:shd w:val="clear" w:color="auto" w:fill="FFFFFF"/>
        </w:rPr>
        <w:t>, Granada, Comares, 2008</w:t>
      </w:r>
      <w:r>
        <w:rPr>
          <w:rFonts w:ascii="Book Antiqua" w:hAnsi="Book Antiqua"/>
          <w:szCs w:val="24"/>
          <w:shd w:val="clear" w:color="auto" w:fill="FFFFFF"/>
        </w:rPr>
        <w:t>.</w:t>
      </w:r>
    </w:p>
  </w:footnote>
  <w:footnote w:id="49">
    <w:p w14:paraId="7C023C6C" w14:textId="77777777" w:rsidR="004A00AB" w:rsidRPr="00D14817"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D14817">
        <w:rPr>
          <w:rFonts w:ascii="Book Antiqua" w:hAnsi="Book Antiqua"/>
          <w:szCs w:val="24"/>
        </w:rPr>
        <w:t xml:space="preserve"> Reglamento 864/2007, </w:t>
      </w:r>
      <w:proofErr w:type="spellStart"/>
      <w:r w:rsidRPr="00D14817">
        <w:rPr>
          <w:rFonts w:ascii="Book Antiqua" w:hAnsi="Book Antiqua"/>
          <w:szCs w:val="24"/>
        </w:rPr>
        <w:t>op</w:t>
      </w:r>
      <w:proofErr w:type="spellEnd"/>
      <w:r w:rsidRPr="00D14817">
        <w:rPr>
          <w:rFonts w:ascii="Book Antiqua" w:hAnsi="Book Antiqua"/>
          <w:szCs w:val="24"/>
        </w:rPr>
        <w:t xml:space="preserve">. cit., art. 4.   </w:t>
      </w:r>
    </w:p>
  </w:footnote>
  <w:footnote w:id="50">
    <w:p w14:paraId="7CD4E661" w14:textId="77777777" w:rsidR="004A00AB" w:rsidRPr="001571D9"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1571D9">
        <w:rPr>
          <w:rFonts w:ascii="Book Antiqua" w:hAnsi="Book Antiqua"/>
          <w:szCs w:val="24"/>
        </w:rPr>
        <w:t xml:space="preserve"> Reglamento 864/207, </w:t>
      </w:r>
      <w:proofErr w:type="spellStart"/>
      <w:r>
        <w:rPr>
          <w:rFonts w:ascii="Book Antiqua" w:hAnsi="Book Antiqua"/>
          <w:szCs w:val="24"/>
        </w:rPr>
        <w:t>op</w:t>
      </w:r>
      <w:proofErr w:type="spellEnd"/>
      <w:r>
        <w:rPr>
          <w:rFonts w:ascii="Book Antiqua" w:hAnsi="Book Antiqua"/>
          <w:szCs w:val="24"/>
        </w:rPr>
        <w:t xml:space="preserve">. </w:t>
      </w:r>
      <w:r w:rsidRPr="001571D9">
        <w:rPr>
          <w:rFonts w:ascii="Book Antiqua" w:hAnsi="Book Antiqua"/>
          <w:szCs w:val="24"/>
        </w:rPr>
        <w:t>cit. Considerando 15.</w:t>
      </w:r>
    </w:p>
  </w:footnote>
  <w:footnote w:id="51">
    <w:p w14:paraId="0E970DDA" w14:textId="77777777" w:rsidR="004A00AB" w:rsidRPr="00D14817" w:rsidRDefault="004A00AB" w:rsidP="004A00AB">
      <w:pPr>
        <w:pStyle w:val="Textonotapie"/>
        <w:spacing w:line="360" w:lineRule="auto"/>
        <w:rPr>
          <w:rFonts w:ascii="Book Antiqua" w:hAnsi="Book Antiqua"/>
          <w:szCs w:val="24"/>
        </w:rPr>
      </w:pPr>
      <w:r w:rsidRPr="001571D9">
        <w:rPr>
          <w:rStyle w:val="Refdenotaalpie"/>
          <w:rFonts w:ascii="Book Antiqua" w:hAnsi="Book Antiqua"/>
          <w:szCs w:val="24"/>
        </w:rPr>
        <w:footnoteRef/>
      </w:r>
      <w:r w:rsidRPr="00D14817">
        <w:rPr>
          <w:rFonts w:ascii="Book Antiqua" w:hAnsi="Book Antiqua"/>
          <w:szCs w:val="24"/>
        </w:rPr>
        <w:t xml:space="preserve"> Reglamento 864/2007 cit. art..2.  </w:t>
      </w:r>
    </w:p>
  </w:footnote>
  <w:footnote w:id="52">
    <w:p w14:paraId="53FB2C5A" w14:textId="77777777" w:rsidR="004A00AB" w:rsidRPr="001571D9" w:rsidRDefault="004A00AB" w:rsidP="004A00AB">
      <w:pPr>
        <w:spacing w:line="360" w:lineRule="auto"/>
        <w:jc w:val="both"/>
        <w:rPr>
          <w:rFonts w:ascii="Book Antiqua" w:hAnsi="Book Antiqua" w:cs="Times New Roman"/>
          <w:sz w:val="24"/>
          <w:szCs w:val="24"/>
        </w:rPr>
      </w:pPr>
      <w:r w:rsidRPr="001571D9">
        <w:rPr>
          <w:rStyle w:val="Refdenotaalpie"/>
          <w:rFonts w:ascii="Book Antiqua" w:hAnsi="Book Antiqua" w:cs="Times New Roman"/>
          <w:sz w:val="24"/>
          <w:szCs w:val="24"/>
        </w:rPr>
        <w:footnoteRef/>
      </w:r>
      <w:r w:rsidRPr="001571D9">
        <w:rPr>
          <w:rFonts w:ascii="Book Antiqua" w:hAnsi="Book Antiqua" w:cs="Times New Roman"/>
          <w:sz w:val="24"/>
          <w:szCs w:val="24"/>
        </w:rPr>
        <w:t xml:space="preserve"> </w:t>
      </w:r>
      <w:proofErr w:type="spellStart"/>
      <w:r w:rsidRPr="001571D9">
        <w:rPr>
          <w:rFonts w:ascii="Book Antiqua" w:hAnsi="Book Antiqua" w:cs="Times New Roman"/>
          <w:sz w:val="24"/>
          <w:szCs w:val="24"/>
        </w:rPr>
        <w:t>STJUE</w:t>
      </w:r>
      <w:proofErr w:type="spellEnd"/>
      <w:r w:rsidRPr="001571D9">
        <w:rPr>
          <w:rFonts w:ascii="Book Antiqua" w:hAnsi="Book Antiqua" w:cs="Times New Roman"/>
          <w:sz w:val="24"/>
          <w:szCs w:val="24"/>
        </w:rPr>
        <w:t xml:space="preserve"> C-304/17ECLI:UE:C: 2018:701, “Según reiterada jurisprudencia del Tribunal de Justicia,  el concepto de “materia delictual o </w:t>
      </w:r>
      <w:proofErr w:type="spellStart"/>
      <w:r w:rsidRPr="001571D9">
        <w:rPr>
          <w:rFonts w:ascii="Book Antiqua" w:hAnsi="Book Antiqua" w:cs="Times New Roman"/>
          <w:sz w:val="24"/>
          <w:szCs w:val="24"/>
        </w:rPr>
        <w:t>cuasidelictual</w:t>
      </w:r>
      <w:proofErr w:type="spellEnd"/>
      <w:r w:rsidRPr="001571D9">
        <w:rPr>
          <w:rFonts w:ascii="Book Antiqua" w:hAnsi="Book Antiqua" w:cs="Times New Roman"/>
          <w:sz w:val="24"/>
          <w:szCs w:val="24"/>
        </w:rPr>
        <w:t xml:space="preserve">” comprende toda pretensión con la que se exija responsabilidad a un demandado y que no está relacionada con la “materia contractual”, en el sentido del art.5, punto 1, letra a), del Reglamento </w:t>
      </w:r>
      <w:proofErr w:type="spellStart"/>
      <w:r w:rsidRPr="001571D9">
        <w:rPr>
          <w:rFonts w:ascii="Book Antiqua" w:hAnsi="Book Antiqua" w:cs="Times New Roman"/>
          <w:sz w:val="24"/>
          <w:szCs w:val="24"/>
        </w:rPr>
        <w:t>nº</w:t>
      </w:r>
      <w:proofErr w:type="spellEnd"/>
      <w:r w:rsidRPr="001571D9">
        <w:rPr>
          <w:rFonts w:ascii="Book Antiqua" w:hAnsi="Book Antiqua" w:cs="Times New Roman"/>
          <w:sz w:val="24"/>
          <w:szCs w:val="24"/>
        </w:rPr>
        <w:t xml:space="preserve"> 44/2001 ( </w:t>
      </w:r>
      <w:r>
        <w:rPr>
          <w:rFonts w:ascii="Book Antiqua" w:hAnsi="Book Antiqua" w:cs="Times New Roman"/>
          <w:sz w:val="24"/>
          <w:szCs w:val="24"/>
        </w:rPr>
        <w:t>doctrina que se recoge en múltiples sentencias:</w:t>
      </w:r>
      <w:r w:rsidRPr="001571D9">
        <w:rPr>
          <w:rFonts w:ascii="Book Antiqua" w:hAnsi="Book Antiqua" w:cs="Times New Roman"/>
          <w:sz w:val="24"/>
          <w:szCs w:val="24"/>
        </w:rPr>
        <w:t xml:space="preserve"> 27 de septiembre de 1988, </w:t>
      </w:r>
      <w:proofErr w:type="spellStart"/>
      <w:r w:rsidRPr="001571D9">
        <w:rPr>
          <w:rFonts w:ascii="Book Antiqua" w:hAnsi="Book Antiqua" w:cs="Times New Roman"/>
          <w:sz w:val="24"/>
          <w:szCs w:val="24"/>
        </w:rPr>
        <w:t>Kalfelis</w:t>
      </w:r>
      <w:proofErr w:type="spellEnd"/>
      <w:r w:rsidRPr="001571D9">
        <w:rPr>
          <w:rFonts w:ascii="Book Antiqua" w:hAnsi="Book Antiqua" w:cs="Times New Roman"/>
          <w:sz w:val="24"/>
          <w:szCs w:val="24"/>
        </w:rPr>
        <w:t>, 189/87, E</w:t>
      </w:r>
      <w:r>
        <w:rPr>
          <w:rFonts w:ascii="Book Antiqua" w:hAnsi="Book Antiqua" w:cs="Times New Roman"/>
          <w:sz w:val="24"/>
          <w:szCs w:val="24"/>
        </w:rPr>
        <w:t xml:space="preserve">U:C:1988:459 apartados 17 y 18; </w:t>
      </w:r>
      <w:r w:rsidRPr="001571D9">
        <w:rPr>
          <w:rFonts w:ascii="Book Antiqua" w:hAnsi="Book Antiqua" w:cs="Times New Roman"/>
          <w:sz w:val="24"/>
          <w:szCs w:val="24"/>
        </w:rPr>
        <w:t xml:space="preserve">de 13 de marzo de 2014, </w:t>
      </w:r>
      <w:proofErr w:type="spellStart"/>
      <w:r w:rsidRPr="001571D9">
        <w:rPr>
          <w:rFonts w:ascii="Book Antiqua" w:hAnsi="Book Antiqua" w:cs="Times New Roman"/>
          <w:sz w:val="24"/>
          <w:szCs w:val="24"/>
        </w:rPr>
        <w:t>Brogsitter</w:t>
      </w:r>
      <w:proofErr w:type="spellEnd"/>
      <w:r w:rsidRPr="001571D9">
        <w:rPr>
          <w:rFonts w:ascii="Book Antiqua" w:hAnsi="Book Antiqua" w:cs="Times New Roman"/>
          <w:sz w:val="24"/>
          <w:szCs w:val="24"/>
        </w:rPr>
        <w:t xml:space="preserve">, C548/12,EU:2014:148 apartado 20; de 21 de abril 2016, Austro </w:t>
      </w:r>
      <w:proofErr w:type="spellStart"/>
      <w:r w:rsidRPr="001571D9">
        <w:rPr>
          <w:rFonts w:ascii="Book Antiqua" w:hAnsi="Book Antiqua" w:cs="Times New Roman"/>
          <w:sz w:val="24"/>
          <w:szCs w:val="24"/>
        </w:rPr>
        <w:t>Mechana</w:t>
      </w:r>
      <w:proofErr w:type="spellEnd"/>
      <w:r w:rsidRPr="001571D9">
        <w:rPr>
          <w:rFonts w:ascii="Book Antiqua" w:hAnsi="Book Antiqua" w:cs="Times New Roman"/>
          <w:sz w:val="24"/>
          <w:szCs w:val="24"/>
        </w:rPr>
        <w:t>, C,57</w:t>
      </w:r>
      <w:r>
        <w:rPr>
          <w:rFonts w:ascii="Book Antiqua" w:hAnsi="Book Antiqua" w:cs="Times New Roman"/>
          <w:sz w:val="24"/>
          <w:szCs w:val="24"/>
        </w:rPr>
        <w:t xml:space="preserve">2/14,UE:C:2016:286 apartado 32, entre otras). </w:t>
      </w:r>
    </w:p>
  </w:footnote>
  <w:footnote w:id="53">
    <w:p w14:paraId="65E14F76" w14:textId="77777777" w:rsidR="004A00AB" w:rsidRPr="001571D9" w:rsidRDefault="004A00AB" w:rsidP="004A00AB">
      <w:pPr>
        <w:pStyle w:val="Textonotapie"/>
        <w:spacing w:line="360" w:lineRule="auto"/>
        <w:rPr>
          <w:szCs w:val="24"/>
        </w:rPr>
      </w:pPr>
      <w:r w:rsidRPr="001571D9">
        <w:rPr>
          <w:rStyle w:val="Refdenotaalpie"/>
          <w:szCs w:val="24"/>
        </w:rPr>
        <w:footnoteRef/>
      </w:r>
      <w:r>
        <w:rPr>
          <w:szCs w:val="24"/>
        </w:rPr>
        <w:t xml:space="preserve"> Sí estará justificada</w:t>
      </w:r>
      <w:r w:rsidRPr="001571D9">
        <w:rPr>
          <w:szCs w:val="24"/>
        </w:rPr>
        <w:t xml:space="preserve"> la atribución de</w:t>
      </w:r>
      <w:r>
        <w:rPr>
          <w:szCs w:val="24"/>
        </w:rPr>
        <w:t xml:space="preserve"> la </w:t>
      </w:r>
      <w:r w:rsidRPr="001571D9">
        <w:rPr>
          <w:szCs w:val="24"/>
        </w:rPr>
        <w:t xml:space="preserve">competencia al domicilio del demandante cuando constituya efectivamente el lugar del hecho causal o el de materialización del daño (Sentencia de 28 de enero de 2015, </w:t>
      </w:r>
      <w:proofErr w:type="spellStart"/>
      <w:r w:rsidRPr="001571D9">
        <w:rPr>
          <w:szCs w:val="24"/>
        </w:rPr>
        <w:t>Kolassa</w:t>
      </w:r>
      <w:proofErr w:type="spellEnd"/>
      <w:r w:rsidRPr="001571D9">
        <w:rPr>
          <w:szCs w:val="24"/>
        </w:rPr>
        <w:t>, C-375/13, UE: apartado 49). En esta</w:t>
      </w:r>
      <w:r>
        <w:rPr>
          <w:szCs w:val="24"/>
        </w:rPr>
        <w:t>s</w:t>
      </w:r>
      <w:r w:rsidRPr="001571D9">
        <w:rPr>
          <w:szCs w:val="24"/>
        </w:rPr>
        <w:t xml:space="preserve"> sentencias se aprecia la coherencia jurisprudencial al señalar que la acción puede ejercitarse, a elección del demandante, ante los tribunales de cualquiera de estos dos lugare</w:t>
      </w:r>
      <w:r>
        <w:rPr>
          <w:szCs w:val="24"/>
        </w:rPr>
        <w:t>s</w:t>
      </w:r>
      <w:r w:rsidRPr="001571D9">
        <w:rPr>
          <w:szCs w:val="24"/>
        </w:rPr>
        <w:t>.</w:t>
      </w:r>
    </w:p>
  </w:footnote>
  <w:footnote w:id="54">
    <w:p w14:paraId="0FB248BF" w14:textId="77777777" w:rsidR="004A00AB" w:rsidRPr="00057037" w:rsidRDefault="004A00AB" w:rsidP="004A00AB">
      <w:pPr>
        <w:pStyle w:val="Textonotapie"/>
        <w:spacing w:line="360" w:lineRule="auto"/>
      </w:pPr>
      <w:r w:rsidRPr="001571D9">
        <w:rPr>
          <w:rStyle w:val="Refdenotaalpie"/>
          <w:szCs w:val="24"/>
        </w:rPr>
        <w:footnoteRef/>
      </w:r>
      <w:r w:rsidRPr="001571D9">
        <w:rPr>
          <w:szCs w:val="24"/>
        </w:rPr>
        <w:t xml:space="preserve"> Para un análisis profundo de esta sentencia vid.</w:t>
      </w:r>
      <w:r>
        <w:rPr>
          <w:szCs w:val="24"/>
        </w:rPr>
        <w:t xml:space="preserve"> </w:t>
      </w:r>
      <w:r w:rsidRPr="001571D9">
        <w:rPr>
          <w:szCs w:val="24"/>
        </w:rPr>
        <w:t xml:space="preserve">LORENTE MARTÍNEZ, I.: “Lugar del hecho dañoso y obligaciones extracontractuales. La sentencia del </w:t>
      </w:r>
      <w:proofErr w:type="spellStart"/>
      <w:r w:rsidRPr="001571D9">
        <w:rPr>
          <w:szCs w:val="24"/>
        </w:rPr>
        <w:t>TJUE</w:t>
      </w:r>
      <w:proofErr w:type="spellEnd"/>
      <w:r w:rsidRPr="001571D9">
        <w:rPr>
          <w:szCs w:val="24"/>
        </w:rPr>
        <w:t xml:space="preserve"> de 25 octubre 2011 y el coste de la litigación internacional en Internet” en </w:t>
      </w:r>
      <w:r w:rsidRPr="001571D9">
        <w:rPr>
          <w:i/>
          <w:szCs w:val="24"/>
        </w:rPr>
        <w:t>Cuadernos de Derecho Transnacional</w:t>
      </w:r>
      <w:r w:rsidRPr="001571D9">
        <w:rPr>
          <w:szCs w:val="24"/>
        </w:rPr>
        <w:t xml:space="preserve"> (</w:t>
      </w:r>
      <w:proofErr w:type="gramStart"/>
      <w:r w:rsidRPr="001571D9">
        <w:rPr>
          <w:szCs w:val="24"/>
        </w:rPr>
        <w:t>Marzo</w:t>
      </w:r>
      <w:proofErr w:type="gramEnd"/>
      <w:r w:rsidRPr="001571D9">
        <w:rPr>
          <w:szCs w:val="24"/>
        </w:rPr>
        <w:t xml:space="preserve"> 2012), Vol. 4, </w:t>
      </w:r>
      <w:proofErr w:type="spellStart"/>
      <w:r w:rsidRPr="001571D9">
        <w:rPr>
          <w:szCs w:val="24"/>
        </w:rPr>
        <w:t>Nº</w:t>
      </w:r>
      <w:proofErr w:type="spellEnd"/>
      <w:r w:rsidRPr="001571D9">
        <w:rPr>
          <w:szCs w:val="24"/>
        </w:rPr>
        <w:t xml:space="preserve"> 1, pp. 277-301, 2012, Madrid.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14CB" w14:textId="6585DE3E" w:rsidR="0026463A" w:rsidRPr="008E5A1F" w:rsidRDefault="0026463A" w:rsidP="00C34434">
    <w:pPr>
      <w:pStyle w:val="Encabezado"/>
      <w:tabs>
        <w:tab w:val="left" w:pos="8364"/>
      </w:tabs>
      <w:jc w:val="right"/>
      <w:rPr>
        <w:rFonts w:ascii="Book Antiqua" w:hAnsi="Book Antiqua"/>
        <w:b/>
        <w:bCs/>
        <w:color w:val="808080" w:themeColor="background1" w:themeShade="80"/>
      </w:rPr>
    </w:pPr>
    <w:r w:rsidRPr="008E5A1F">
      <w:rPr>
        <w:rFonts w:ascii="Book Antiqua" w:hAnsi="Book Antiqua"/>
        <w:b/>
        <w:bCs/>
        <w:color w:val="808080" w:themeColor="background1" w:themeShade="80"/>
      </w:rPr>
      <w:t>www.ridrom.uclm.es</w:t>
    </w:r>
  </w:p>
  <w:p w14:paraId="0CAB3AC2" w14:textId="68698A72" w:rsidR="0026463A" w:rsidRPr="008E5A1F" w:rsidRDefault="00B24B2A" w:rsidP="00C34434">
    <w:pPr>
      <w:pStyle w:val="Encabezado"/>
      <w:tabs>
        <w:tab w:val="left" w:pos="8364"/>
      </w:tabs>
      <w:jc w:val="right"/>
      <w:rPr>
        <w:rFonts w:ascii="Book Antiqua" w:hAnsi="Book Antiqua"/>
        <w:b/>
        <w:bCs/>
        <w:color w:val="808080" w:themeColor="background1" w:themeShade="80"/>
      </w:rPr>
    </w:pPr>
    <w:r>
      <w:rPr>
        <w:rFonts w:ascii="Book Antiqua" w:hAnsi="Book Antiqua"/>
        <w:b/>
        <w:bCs/>
        <w:color w:val="808080" w:themeColor="background1" w:themeShade="80"/>
      </w:rPr>
      <w:t>octubre</w:t>
    </w:r>
    <w:r w:rsidR="0026463A" w:rsidRPr="008E5A1F">
      <w:rPr>
        <w:rFonts w:ascii="Book Antiqua" w:hAnsi="Book Antiqua"/>
        <w:b/>
        <w:bCs/>
        <w:color w:val="808080" w:themeColor="background1" w:themeShade="80"/>
      </w:rPr>
      <w:t>-</w:t>
    </w:r>
    <w:r w:rsidR="0026463A">
      <w:rPr>
        <w:rFonts w:ascii="Book Antiqua" w:hAnsi="Book Antiqua"/>
        <w:b/>
        <w:bCs/>
        <w:color w:val="808080" w:themeColor="background1" w:themeShade="8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AF1"/>
    <w:multiLevelType w:val="hybridMultilevel"/>
    <w:tmpl w:val="171023F6"/>
    <w:lvl w:ilvl="0" w:tplc="AE905C86">
      <w:start w:val="1"/>
      <w:numFmt w:val="decimal"/>
      <w:lvlText w:val="%1."/>
      <w:lvlJc w:val="lef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 w15:restartNumberingAfterBreak="0">
    <w:nsid w:val="04461CE8"/>
    <w:multiLevelType w:val="multilevel"/>
    <w:tmpl w:val="40F21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32B8A"/>
    <w:multiLevelType w:val="hybridMultilevel"/>
    <w:tmpl w:val="499E80C8"/>
    <w:lvl w:ilvl="0" w:tplc="195AFD2C">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432F5B"/>
    <w:multiLevelType w:val="multilevel"/>
    <w:tmpl w:val="C508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0233"/>
    <w:multiLevelType w:val="multilevel"/>
    <w:tmpl w:val="2D2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14B89"/>
    <w:multiLevelType w:val="hybridMultilevel"/>
    <w:tmpl w:val="DC60F6C2"/>
    <w:lvl w:ilvl="0" w:tplc="01300FC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BEB3EFE"/>
    <w:multiLevelType w:val="multilevel"/>
    <w:tmpl w:val="998C23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80750F"/>
    <w:multiLevelType w:val="hybridMultilevel"/>
    <w:tmpl w:val="51CC8CE2"/>
    <w:lvl w:ilvl="0" w:tplc="60ECB04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CFE3A68"/>
    <w:multiLevelType w:val="multilevel"/>
    <w:tmpl w:val="F42A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F53D9"/>
    <w:multiLevelType w:val="hybridMultilevel"/>
    <w:tmpl w:val="79C03144"/>
    <w:lvl w:ilvl="0" w:tplc="2428627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223385A"/>
    <w:multiLevelType w:val="hybridMultilevel"/>
    <w:tmpl w:val="0B8690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9D7580"/>
    <w:multiLevelType w:val="hybridMultilevel"/>
    <w:tmpl w:val="F7E24FA4"/>
    <w:lvl w:ilvl="0" w:tplc="B5DEB958">
      <w:start w:val="1"/>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2A10B4"/>
    <w:multiLevelType w:val="multilevel"/>
    <w:tmpl w:val="1618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82F65"/>
    <w:multiLevelType w:val="hybridMultilevel"/>
    <w:tmpl w:val="DA42B600"/>
    <w:lvl w:ilvl="0" w:tplc="B91E526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52527B5"/>
    <w:multiLevelType w:val="hybridMultilevel"/>
    <w:tmpl w:val="55B20C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FB4C64"/>
    <w:multiLevelType w:val="hybridMultilevel"/>
    <w:tmpl w:val="E67EF732"/>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0E35B6"/>
    <w:multiLevelType w:val="hybridMultilevel"/>
    <w:tmpl w:val="EF9616A2"/>
    <w:lvl w:ilvl="0" w:tplc="AA84376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010FB1"/>
    <w:multiLevelType w:val="hybridMultilevel"/>
    <w:tmpl w:val="655AB2CA"/>
    <w:lvl w:ilvl="0" w:tplc="93A2281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955066"/>
    <w:multiLevelType w:val="hybridMultilevel"/>
    <w:tmpl w:val="0F8A7908"/>
    <w:lvl w:ilvl="0" w:tplc="0C0A000F">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C375252"/>
    <w:multiLevelType w:val="hybridMultilevel"/>
    <w:tmpl w:val="6AFA6E00"/>
    <w:lvl w:ilvl="0" w:tplc="9788D0A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E853989"/>
    <w:multiLevelType w:val="hybridMultilevel"/>
    <w:tmpl w:val="60A28A94"/>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E8F388B"/>
    <w:multiLevelType w:val="hybridMultilevel"/>
    <w:tmpl w:val="BFA234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4B59D8"/>
    <w:multiLevelType w:val="hybridMultilevel"/>
    <w:tmpl w:val="4F7A6052"/>
    <w:lvl w:ilvl="0" w:tplc="B91E526C">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7CE947F7"/>
    <w:multiLevelType w:val="hybridMultilevel"/>
    <w:tmpl w:val="BE267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E6E0F55"/>
    <w:multiLevelType w:val="hybridMultilevel"/>
    <w:tmpl w:val="B7525B2E"/>
    <w:lvl w:ilvl="0" w:tplc="9D74F3B2">
      <w:start w:val="1"/>
      <w:numFmt w:val="upperLetter"/>
      <w:lvlText w:val="%1)"/>
      <w:lvlJc w:val="left"/>
      <w:pPr>
        <w:ind w:left="2202" w:hanging="360"/>
      </w:pPr>
      <w:rPr>
        <w:rFonts w:hint="default"/>
        <w:i/>
      </w:rPr>
    </w:lvl>
    <w:lvl w:ilvl="1" w:tplc="0C0A0019" w:tentative="1">
      <w:start w:val="1"/>
      <w:numFmt w:val="lowerLetter"/>
      <w:lvlText w:val="%2."/>
      <w:lvlJc w:val="left"/>
      <w:pPr>
        <w:ind w:left="2922" w:hanging="360"/>
      </w:pPr>
    </w:lvl>
    <w:lvl w:ilvl="2" w:tplc="0C0A001B" w:tentative="1">
      <w:start w:val="1"/>
      <w:numFmt w:val="lowerRoman"/>
      <w:lvlText w:val="%3."/>
      <w:lvlJc w:val="right"/>
      <w:pPr>
        <w:ind w:left="3642" w:hanging="180"/>
      </w:pPr>
    </w:lvl>
    <w:lvl w:ilvl="3" w:tplc="0C0A000F" w:tentative="1">
      <w:start w:val="1"/>
      <w:numFmt w:val="decimal"/>
      <w:lvlText w:val="%4."/>
      <w:lvlJc w:val="left"/>
      <w:pPr>
        <w:ind w:left="4362" w:hanging="360"/>
      </w:pPr>
    </w:lvl>
    <w:lvl w:ilvl="4" w:tplc="0C0A0019" w:tentative="1">
      <w:start w:val="1"/>
      <w:numFmt w:val="lowerLetter"/>
      <w:lvlText w:val="%5."/>
      <w:lvlJc w:val="left"/>
      <w:pPr>
        <w:ind w:left="5082" w:hanging="360"/>
      </w:pPr>
    </w:lvl>
    <w:lvl w:ilvl="5" w:tplc="0C0A001B" w:tentative="1">
      <w:start w:val="1"/>
      <w:numFmt w:val="lowerRoman"/>
      <w:lvlText w:val="%6."/>
      <w:lvlJc w:val="right"/>
      <w:pPr>
        <w:ind w:left="5802" w:hanging="180"/>
      </w:pPr>
    </w:lvl>
    <w:lvl w:ilvl="6" w:tplc="0C0A000F" w:tentative="1">
      <w:start w:val="1"/>
      <w:numFmt w:val="decimal"/>
      <w:lvlText w:val="%7."/>
      <w:lvlJc w:val="left"/>
      <w:pPr>
        <w:ind w:left="6522" w:hanging="360"/>
      </w:pPr>
    </w:lvl>
    <w:lvl w:ilvl="7" w:tplc="0C0A0019" w:tentative="1">
      <w:start w:val="1"/>
      <w:numFmt w:val="lowerLetter"/>
      <w:lvlText w:val="%8."/>
      <w:lvlJc w:val="left"/>
      <w:pPr>
        <w:ind w:left="7242" w:hanging="360"/>
      </w:pPr>
    </w:lvl>
    <w:lvl w:ilvl="8" w:tplc="0C0A001B" w:tentative="1">
      <w:start w:val="1"/>
      <w:numFmt w:val="lowerRoman"/>
      <w:lvlText w:val="%9."/>
      <w:lvlJc w:val="right"/>
      <w:pPr>
        <w:ind w:left="7962" w:hanging="180"/>
      </w:pPr>
    </w:lvl>
  </w:abstractNum>
  <w:abstractNum w:abstractNumId="25" w15:restartNumberingAfterBreak="0">
    <w:nsid w:val="7F385435"/>
    <w:multiLevelType w:val="multilevel"/>
    <w:tmpl w:val="59547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14"/>
  </w:num>
  <w:num w:numId="4">
    <w:abstractNumId w:val="15"/>
  </w:num>
  <w:num w:numId="5">
    <w:abstractNumId w:val="20"/>
  </w:num>
  <w:num w:numId="6">
    <w:abstractNumId w:val="18"/>
  </w:num>
  <w:num w:numId="7">
    <w:abstractNumId w:val="23"/>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22"/>
  </w:num>
  <w:num w:numId="13">
    <w:abstractNumId w:val="24"/>
  </w:num>
  <w:num w:numId="14">
    <w:abstractNumId w:val="13"/>
  </w:num>
  <w:num w:numId="15">
    <w:abstractNumId w:val="17"/>
  </w:num>
  <w:num w:numId="16">
    <w:abstractNumId w:val="9"/>
  </w:num>
  <w:num w:numId="17">
    <w:abstractNumId w:val="5"/>
  </w:num>
  <w:num w:numId="18">
    <w:abstractNumId w:val="21"/>
  </w:num>
  <w:num w:numId="19">
    <w:abstractNumId w:val="7"/>
  </w:num>
  <w:num w:numId="20">
    <w:abstractNumId w:val="25"/>
  </w:num>
  <w:num w:numId="21">
    <w:abstractNumId w:val="1"/>
  </w:num>
  <w:num w:numId="22">
    <w:abstractNumId w:val="6"/>
  </w:num>
  <w:num w:numId="23">
    <w:abstractNumId w:val="16"/>
  </w:num>
  <w:num w:numId="24">
    <w:abstractNumId w:val="12"/>
  </w:num>
  <w:num w:numId="25">
    <w:abstractNumId w:val="8"/>
  </w:num>
  <w:num w:numId="26">
    <w:abstractNumId w:val="3"/>
  </w:num>
  <w:num w:numId="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33"/>
    <w:rsid w:val="0003121A"/>
    <w:rsid w:val="00034EEC"/>
    <w:rsid w:val="00040110"/>
    <w:rsid w:val="00054E09"/>
    <w:rsid w:val="000640C6"/>
    <w:rsid w:val="0007351B"/>
    <w:rsid w:val="000741D0"/>
    <w:rsid w:val="0008186E"/>
    <w:rsid w:val="00092EFD"/>
    <w:rsid w:val="000A1EAC"/>
    <w:rsid w:val="000A3C47"/>
    <w:rsid w:val="000A45F2"/>
    <w:rsid w:val="000C0D90"/>
    <w:rsid w:val="000C3BA7"/>
    <w:rsid w:val="000E2F1F"/>
    <w:rsid w:val="000E6ADA"/>
    <w:rsid w:val="00100AD2"/>
    <w:rsid w:val="00107903"/>
    <w:rsid w:val="00120C76"/>
    <w:rsid w:val="00145F24"/>
    <w:rsid w:val="001549F7"/>
    <w:rsid w:val="001637C6"/>
    <w:rsid w:val="00192159"/>
    <w:rsid w:val="00192692"/>
    <w:rsid w:val="00197421"/>
    <w:rsid w:val="001A5955"/>
    <w:rsid w:val="001A737D"/>
    <w:rsid w:val="001B324E"/>
    <w:rsid w:val="001D2E9D"/>
    <w:rsid w:val="001E1AFF"/>
    <w:rsid w:val="001F0BD5"/>
    <w:rsid w:val="00200119"/>
    <w:rsid w:val="00206C6B"/>
    <w:rsid w:val="002156C8"/>
    <w:rsid w:val="0023737D"/>
    <w:rsid w:val="00243FDD"/>
    <w:rsid w:val="002456B4"/>
    <w:rsid w:val="00246E59"/>
    <w:rsid w:val="002562D7"/>
    <w:rsid w:val="0025630B"/>
    <w:rsid w:val="0026463A"/>
    <w:rsid w:val="0026574C"/>
    <w:rsid w:val="00274485"/>
    <w:rsid w:val="002B1FB9"/>
    <w:rsid w:val="002C431C"/>
    <w:rsid w:val="002C5E92"/>
    <w:rsid w:val="00306E47"/>
    <w:rsid w:val="00310021"/>
    <w:rsid w:val="00312B24"/>
    <w:rsid w:val="00314AAE"/>
    <w:rsid w:val="00324494"/>
    <w:rsid w:val="0033361D"/>
    <w:rsid w:val="00336418"/>
    <w:rsid w:val="00342CDA"/>
    <w:rsid w:val="003800A5"/>
    <w:rsid w:val="0038689D"/>
    <w:rsid w:val="0039290D"/>
    <w:rsid w:val="00396F3E"/>
    <w:rsid w:val="003A72E0"/>
    <w:rsid w:val="003B3C70"/>
    <w:rsid w:val="003B5170"/>
    <w:rsid w:val="003B5DCE"/>
    <w:rsid w:val="003B5E7A"/>
    <w:rsid w:val="003D1540"/>
    <w:rsid w:val="003D2B7F"/>
    <w:rsid w:val="003D49E6"/>
    <w:rsid w:val="003E012B"/>
    <w:rsid w:val="003E0BEE"/>
    <w:rsid w:val="003E54D5"/>
    <w:rsid w:val="004007FE"/>
    <w:rsid w:val="00401B74"/>
    <w:rsid w:val="00443A77"/>
    <w:rsid w:val="00445A11"/>
    <w:rsid w:val="00466DF2"/>
    <w:rsid w:val="0047065F"/>
    <w:rsid w:val="00470F09"/>
    <w:rsid w:val="00471150"/>
    <w:rsid w:val="00481355"/>
    <w:rsid w:val="004A00AB"/>
    <w:rsid w:val="004D64E8"/>
    <w:rsid w:val="004E23AC"/>
    <w:rsid w:val="004F0BB3"/>
    <w:rsid w:val="00514D56"/>
    <w:rsid w:val="005174E3"/>
    <w:rsid w:val="00520DD7"/>
    <w:rsid w:val="00533931"/>
    <w:rsid w:val="00533950"/>
    <w:rsid w:val="00544F24"/>
    <w:rsid w:val="00563BD6"/>
    <w:rsid w:val="00573053"/>
    <w:rsid w:val="00575480"/>
    <w:rsid w:val="005861EB"/>
    <w:rsid w:val="005A4BC7"/>
    <w:rsid w:val="005A5BBB"/>
    <w:rsid w:val="005B3F03"/>
    <w:rsid w:val="005C745C"/>
    <w:rsid w:val="005E2878"/>
    <w:rsid w:val="005E7751"/>
    <w:rsid w:val="00614C1C"/>
    <w:rsid w:val="00625334"/>
    <w:rsid w:val="006368B4"/>
    <w:rsid w:val="0066555C"/>
    <w:rsid w:val="00671B90"/>
    <w:rsid w:val="00672584"/>
    <w:rsid w:val="00687AAB"/>
    <w:rsid w:val="00687DAD"/>
    <w:rsid w:val="006972D3"/>
    <w:rsid w:val="006B0386"/>
    <w:rsid w:val="006B2DB9"/>
    <w:rsid w:val="006B7D4B"/>
    <w:rsid w:val="006D1960"/>
    <w:rsid w:val="006E0898"/>
    <w:rsid w:val="006F0BC6"/>
    <w:rsid w:val="00702159"/>
    <w:rsid w:val="00720C4C"/>
    <w:rsid w:val="007256E7"/>
    <w:rsid w:val="00736DB9"/>
    <w:rsid w:val="0075373A"/>
    <w:rsid w:val="0078043D"/>
    <w:rsid w:val="007A2519"/>
    <w:rsid w:val="007A4642"/>
    <w:rsid w:val="007F0D92"/>
    <w:rsid w:val="007F4F39"/>
    <w:rsid w:val="00807CD5"/>
    <w:rsid w:val="00811355"/>
    <w:rsid w:val="00822528"/>
    <w:rsid w:val="00827BBB"/>
    <w:rsid w:val="00831230"/>
    <w:rsid w:val="00832FAA"/>
    <w:rsid w:val="0083579E"/>
    <w:rsid w:val="00840045"/>
    <w:rsid w:val="00844DEE"/>
    <w:rsid w:val="00854C25"/>
    <w:rsid w:val="0085538E"/>
    <w:rsid w:val="0085555F"/>
    <w:rsid w:val="00862433"/>
    <w:rsid w:val="008645FD"/>
    <w:rsid w:val="00866E34"/>
    <w:rsid w:val="008963DC"/>
    <w:rsid w:val="008B5F4F"/>
    <w:rsid w:val="008C1722"/>
    <w:rsid w:val="008C2933"/>
    <w:rsid w:val="008C40EC"/>
    <w:rsid w:val="008C476C"/>
    <w:rsid w:val="008D12F6"/>
    <w:rsid w:val="008D2658"/>
    <w:rsid w:val="008D76D4"/>
    <w:rsid w:val="008E5A1F"/>
    <w:rsid w:val="008E790D"/>
    <w:rsid w:val="008F4130"/>
    <w:rsid w:val="00912B9F"/>
    <w:rsid w:val="009273B9"/>
    <w:rsid w:val="00927E12"/>
    <w:rsid w:val="009338B7"/>
    <w:rsid w:val="00936070"/>
    <w:rsid w:val="0094029D"/>
    <w:rsid w:val="00953367"/>
    <w:rsid w:val="00963180"/>
    <w:rsid w:val="00973E95"/>
    <w:rsid w:val="009B095C"/>
    <w:rsid w:val="009D7277"/>
    <w:rsid w:val="009E550B"/>
    <w:rsid w:val="009F4694"/>
    <w:rsid w:val="009F49DE"/>
    <w:rsid w:val="00A455D1"/>
    <w:rsid w:val="00A75A70"/>
    <w:rsid w:val="00A8381C"/>
    <w:rsid w:val="00A9565F"/>
    <w:rsid w:val="00AA3280"/>
    <w:rsid w:val="00AB63CF"/>
    <w:rsid w:val="00AD48BC"/>
    <w:rsid w:val="00B03695"/>
    <w:rsid w:val="00B24B2A"/>
    <w:rsid w:val="00B3557B"/>
    <w:rsid w:val="00B44A15"/>
    <w:rsid w:val="00B95B3C"/>
    <w:rsid w:val="00BA60A9"/>
    <w:rsid w:val="00BC53C6"/>
    <w:rsid w:val="00BF0895"/>
    <w:rsid w:val="00C11FF2"/>
    <w:rsid w:val="00C34434"/>
    <w:rsid w:val="00C54B40"/>
    <w:rsid w:val="00C56FA9"/>
    <w:rsid w:val="00C77A48"/>
    <w:rsid w:val="00C900A9"/>
    <w:rsid w:val="00C94040"/>
    <w:rsid w:val="00CA4B4C"/>
    <w:rsid w:val="00CD0CC1"/>
    <w:rsid w:val="00CE4362"/>
    <w:rsid w:val="00D17F83"/>
    <w:rsid w:val="00D235F8"/>
    <w:rsid w:val="00D30FE7"/>
    <w:rsid w:val="00D3143C"/>
    <w:rsid w:val="00D82ABF"/>
    <w:rsid w:val="00D82D0C"/>
    <w:rsid w:val="00D97914"/>
    <w:rsid w:val="00DA2BDA"/>
    <w:rsid w:val="00DA553D"/>
    <w:rsid w:val="00DC6B52"/>
    <w:rsid w:val="00DE6957"/>
    <w:rsid w:val="00DF757C"/>
    <w:rsid w:val="00DF7FE1"/>
    <w:rsid w:val="00E21DF8"/>
    <w:rsid w:val="00E53891"/>
    <w:rsid w:val="00E60F8B"/>
    <w:rsid w:val="00E63BED"/>
    <w:rsid w:val="00E64E03"/>
    <w:rsid w:val="00E75660"/>
    <w:rsid w:val="00EC6530"/>
    <w:rsid w:val="00EE034A"/>
    <w:rsid w:val="00EF17EF"/>
    <w:rsid w:val="00F23449"/>
    <w:rsid w:val="00F300B7"/>
    <w:rsid w:val="00F31D67"/>
    <w:rsid w:val="00F3622A"/>
    <w:rsid w:val="00F46010"/>
    <w:rsid w:val="00F4621D"/>
    <w:rsid w:val="00F56C40"/>
    <w:rsid w:val="00F64E92"/>
    <w:rsid w:val="00F8590F"/>
    <w:rsid w:val="00FA6F35"/>
    <w:rsid w:val="00FF3A11"/>
    <w:rsid w:val="00FF4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9562"/>
  <w15:chartTrackingRefBased/>
  <w15:docId w15:val="{CC0E6F1E-FEF2-44AE-8918-65AAD6AF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33"/>
    <w:pPr>
      <w:spacing w:after="0" w:line="240" w:lineRule="auto"/>
    </w:pPr>
    <w:rPr>
      <w:rFonts w:ascii="Calibri" w:eastAsia="Calibri" w:hAnsi="Calibri" w:cs="Arial"/>
      <w:sz w:val="20"/>
      <w:szCs w:val="20"/>
      <w:lang w:eastAsia="es-ES"/>
    </w:rPr>
  </w:style>
  <w:style w:type="paragraph" w:styleId="Ttulo1">
    <w:name w:val="heading 1"/>
    <w:basedOn w:val="Normal"/>
    <w:next w:val="Normal"/>
    <w:link w:val="Ttulo1Car"/>
    <w:uiPriority w:val="9"/>
    <w:qFormat/>
    <w:rsid w:val="00092EFD"/>
    <w:pPr>
      <w:keepNext/>
      <w:spacing w:before="240" w:after="60" w:line="276" w:lineRule="auto"/>
      <w:outlineLvl w:val="0"/>
    </w:pPr>
    <w:rPr>
      <w:rFonts w:ascii="Cambria" w:eastAsia="Times New Roman" w:hAnsi="Cambria" w:cs="Times New Roman"/>
      <w:b/>
      <w:bCs/>
      <w:kern w:val="32"/>
      <w:sz w:val="32"/>
      <w:szCs w:val="32"/>
      <w:lang w:val="es-VE" w:eastAsia="es-VE"/>
    </w:rPr>
  </w:style>
  <w:style w:type="paragraph" w:styleId="Ttulo2">
    <w:name w:val="heading 2"/>
    <w:basedOn w:val="Normal"/>
    <w:next w:val="Normal"/>
    <w:link w:val="Ttulo2Car"/>
    <w:uiPriority w:val="9"/>
    <w:unhideWhenUsed/>
    <w:qFormat/>
    <w:rsid w:val="00092EFD"/>
    <w:pPr>
      <w:keepNext/>
      <w:spacing w:before="240" w:after="60" w:line="276" w:lineRule="auto"/>
      <w:outlineLvl w:val="1"/>
    </w:pPr>
    <w:rPr>
      <w:rFonts w:ascii="Cambria" w:eastAsia="Times New Roman" w:hAnsi="Cambria" w:cs="Times New Roman"/>
      <w:b/>
      <w:bCs/>
      <w:i/>
      <w:iCs/>
      <w:sz w:val="28"/>
      <w:szCs w:val="28"/>
      <w:lang w:val="es-VE" w:eastAsia="es-VE"/>
    </w:rPr>
  </w:style>
  <w:style w:type="paragraph" w:styleId="Ttulo3">
    <w:name w:val="heading 3"/>
    <w:basedOn w:val="Normal"/>
    <w:link w:val="Ttulo3Car"/>
    <w:uiPriority w:val="9"/>
    <w:qFormat/>
    <w:rsid w:val="00092EFD"/>
    <w:pPr>
      <w:spacing w:before="100" w:beforeAutospacing="1" w:after="100" w:afterAutospacing="1"/>
      <w:outlineLvl w:val="2"/>
    </w:pPr>
    <w:rPr>
      <w:rFonts w:ascii="Times New Roman" w:eastAsia="Times New Roman" w:hAnsi="Times New Roman" w:cs="Times New Roman"/>
      <w:b/>
      <w:bCs/>
      <w:sz w:val="27"/>
      <w:szCs w:val="27"/>
      <w:lang w:val="es-VE" w:eastAsia="es-VE"/>
    </w:rPr>
  </w:style>
  <w:style w:type="paragraph" w:styleId="Ttulo4">
    <w:name w:val="heading 4"/>
    <w:basedOn w:val="Normal"/>
    <w:next w:val="Normal"/>
    <w:link w:val="Ttulo4Car"/>
    <w:uiPriority w:val="9"/>
    <w:semiHidden/>
    <w:unhideWhenUsed/>
    <w:qFormat/>
    <w:rsid w:val="00092EFD"/>
    <w:pPr>
      <w:keepNext/>
      <w:spacing w:before="240" w:after="60" w:line="276" w:lineRule="auto"/>
      <w:outlineLvl w:val="3"/>
    </w:pPr>
    <w:rPr>
      <w:rFonts w:eastAsia="Times New Roman" w:cs="Times New Roman"/>
      <w:b/>
      <w:bCs/>
      <w:sz w:val="28"/>
      <w:szCs w:val="28"/>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8C2933"/>
    <w:pPr>
      <w:spacing w:before="100" w:beforeAutospacing="1" w:after="100" w:afterAutospacing="1"/>
    </w:pPr>
    <w:rPr>
      <w:rFonts w:ascii="Times New Roman" w:eastAsia="Times New Roman" w:hAnsi="Times New Roman" w:cs="Times New Roman"/>
      <w:color w:val="FFCC99"/>
      <w:sz w:val="24"/>
      <w:szCs w:val="24"/>
    </w:rPr>
  </w:style>
  <w:style w:type="character" w:styleId="Textoennegrita">
    <w:name w:val="Strong"/>
    <w:uiPriority w:val="22"/>
    <w:qFormat/>
    <w:rsid w:val="008C2933"/>
    <w:rPr>
      <w:b/>
      <w:bCs/>
    </w:rPr>
  </w:style>
  <w:style w:type="character" w:styleId="Hipervnculo">
    <w:name w:val="Hyperlink"/>
    <w:uiPriority w:val="99"/>
    <w:rsid w:val="008C2933"/>
    <w:rPr>
      <w:color w:val="800000"/>
      <w:u w:val="single"/>
    </w:rPr>
  </w:style>
  <w:style w:type="paragraph" w:styleId="Piedepgina">
    <w:name w:val="footer"/>
    <w:basedOn w:val="Normal"/>
    <w:link w:val="PiedepginaCar"/>
    <w:uiPriority w:val="99"/>
    <w:unhideWhenUsed/>
    <w:rsid w:val="008C2933"/>
    <w:pPr>
      <w:tabs>
        <w:tab w:val="center" w:pos="4252"/>
        <w:tab w:val="right" w:pos="8504"/>
      </w:tabs>
    </w:pPr>
  </w:style>
  <w:style w:type="character" w:customStyle="1" w:styleId="PiedepginaCar">
    <w:name w:val="Pie de página Car"/>
    <w:basedOn w:val="Fuentedeprrafopredeter"/>
    <w:link w:val="Piedepgina"/>
    <w:uiPriority w:val="99"/>
    <w:rsid w:val="008C2933"/>
    <w:rPr>
      <w:rFonts w:ascii="Calibri" w:eastAsia="Calibri" w:hAnsi="Calibri" w:cs="Arial"/>
      <w:sz w:val="20"/>
      <w:szCs w:val="20"/>
      <w:lang w:eastAsia="es-ES"/>
    </w:rPr>
  </w:style>
  <w:style w:type="paragraph" w:styleId="Encabezado">
    <w:name w:val="header"/>
    <w:basedOn w:val="Normal"/>
    <w:link w:val="EncabezadoCar"/>
    <w:uiPriority w:val="99"/>
    <w:unhideWhenUsed/>
    <w:rsid w:val="008C2933"/>
    <w:pPr>
      <w:tabs>
        <w:tab w:val="center" w:pos="4252"/>
        <w:tab w:val="right" w:pos="8504"/>
      </w:tabs>
    </w:pPr>
  </w:style>
  <w:style w:type="character" w:customStyle="1" w:styleId="EncabezadoCar">
    <w:name w:val="Encabezado Car"/>
    <w:basedOn w:val="Fuentedeprrafopredeter"/>
    <w:link w:val="Encabezado"/>
    <w:uiPriority w:val="99"/>
    <w:rsid w:val="008C2933"/>
    <w:rPr>
      <w:rFonts w:ascii="Calibri" w:eastAsia="Calibri" w:hAnsi="Calibri" w:cs="Arial"/>
      <w:sz w:val="20"/>
      <w:szCs w:val="20"/>
      <w:lang w:eastAsia="es-ES"/>
    </w:rPr>
  </w:style>
  <w:style w:type="paragraph" w:styleId="Sinespaciado">
    <w:name w:val="No Spacing"/>
    <w:uiPriority w:val="1"/>
    <w:qFormat/>
    <w:rsid w:val="00C94040"/>
    <w:pPr>
      <w:spacing w:after="0" w:line="240" w:lineRule="auto"/>
    </w:pPr>
    <w:rPr>
      <w:rFonts w:ascii="Times New Roman" w:eastAsia="Calibri" w:hAnsi="Times New Roman" w:cs="Times New Roman"/>
      <w:sz w:val="28"/>
      <w:szCs w:val="24"/>
    </w:rPr>
  </w:style>
  <w:style w:type="paragraph" w:styleId="Textonotapie">
    <w:name w:val="footnote text"/>
    <w:basedOn w:val="Normal"/>
    <w:link w:val="TextonotapieCar"/>
    <w:uiPriority w:val="99"/>
    <w:rsid w:val="00243FDD"/>
    <w:pPr>
      <w:jc w:val="both"/>
    </w:pPr>
    <w:rPr>
      <w:rFonts w:ascii="Times New Roman" w:eastAsia="Times New Roman" w:hAnsi="Times New Roman" w:cs="Times New Roman"/>
      <w:sz w:val="24"/>
    </w:rPr>
  </w:style>
  <w:style w:type="character" w:customStyle="1" w:styleId="TextonotapieCar">
    <w:name w:val="Texto nota pie Car"/>
    <w:basedOn w:val="Fuentedeprrafopredeter"/>
    <w:link w:val="Textonotapie"/>
    <w:uiPriority w:val="99"/>
    <w:rsid w:val="00243FDD"/>
    <w:rPr>
      <w:rFonts w:ascii="Times New Roman" w:eastAsia="Times New Roman" w:hAnsi="Times New Roman" w:cs="Times New Roman"/>
      <w:sz w:val="24"/>
      <w:szCs w:val="20"/>
      <w:lang w:eastAsia="es-ES"/>
    </w:rPr>
  </w:style>
  <w:style w:type="character" w:styleId="Refdenotaalpie">
    <w:name w:val="footnote reference"/>
    <w:uiPriority w:val="99"/>
    <w:rsid w:val="00243FDD"/>
    <w:rPr>
      <w:vertAlign w:val="superscript"/>
    </w:rPr>
  </w:style>
  <w:style w:type="character" w:styleId="Mencinsinresolver">
    <w:name w:val="Unresolved Mention"/>
    <w:basedOn w:val="Fuentedeprrafopredeter"/>
    <w:uiPriority w:val="99"/>
    <w:semiHidden/>
    <w:unhideWhenUsed/>
    <w:rsid w:val="005A5BBB"/>
    <w:rPr>
      <w:color w:val="605E5C"/>
      <w:shd w:val="clear" w:color="auto" w:fill="E1DFDD"/>
    </w:rPr>
  </w:style>
  <w:style w:type="character" w:styleId="Hipervnculovisitado">
    <w:name w:val="FollowedHyperlink"/>
    <w:basedOn w:val="Fuentedeprrafopredeter"/>
    <w:uiPriority w:val="99"/>
    <w:semiHidden/>
    <w:unhideWhenUsed/>
    <w:rsid w:val="000E6ADA"/>
    <w:rPr>
      <w:color w:val="954F72" w:themeColor="followedHyperlink"/>
      <w:u w:val="single"/>
    </w:rPr>
  </w:style>
  <w:style w:type="table" w:styleId="Tablaconcuadrcula">
    <w:name w:val="Table Grid"/>
    <w:basedOn w:val="Tablanormal"/>
    <w:uiPriority w:val="39"/>
    <w:rsid w:val="000C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0C3B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092EFD"/>
    <w:rPr>
      <w:rFonts w:ascii="Cambria" w:eastAsia="Times New Roman" w:hAnsi="Cambria" w:cs="Times New Roman"/>
      <w:b/>
      <w:bCs/>
      <w:kern w:val="32"/>
      <w:sz w:val="32"/>
      <w:szCs w:val="32"/>
      <w:lang w:val="es-VE" w:eastAsia="es-VE"/>
    </w:rPr>
  </w:style>
  <w:style w:type="character" w:customStyle="1" w:styleId="Ttulo2Car">
    <w:name w:val="Título 2 Car"/>
    <w:basedOn w:val="Fuentedeprrafopredeter"/>
    <w:link w:val="Ttulo2"/>
    <w:uiPriority w:val="9"/>
    <w:rsid w:val="00092EFD"/>
    <w:rPr>
      <w:rFonts w:ascii="Cambria" w:eastAsia="Times New Roman" w:hAnsi="Cambria" w:cs="Times New Roman"/>
      <w:b/>
      <w:bCs/>
      <w:i/>
      <w:iCs/>
      <w:sz w:val="28"/>
      <w:szCs w:val="28"/>
      <w:lang w:val="es-VE" w:eastAsia="es-VE"/>
    </w:rPr>
  </w:style>
  <w:style w:type="character" w:customStyle="1" w:styleId="Ttulo3Car">
    <w:name w:val="Título 3 Car"/>
    <w:basedOn w:val="Fuentedeprrafopredeter"/>
    <w:link w:val="Ttulo3"/>
    <w:uiPriority w:val="9"/>
    <w:rsid w:val="00092EFD"/>
    <w:rPr>
      <w:rFonts w:ascii="Times New Roman" w:eastAsia="Times New Roman" w:hAnsi="Times New Roman" w:cs="Times New Roman"/>
      <w:b/>
      <w:bCs/>
      <w:sz w:val="27"/>
      <w:szCs w:val="27"/>
      <w:lang w:val="es-VE" w:eastAsia="es-VE"/>
    </w:rPr>
  </w:style>
  <w:style w:type="character" w:customStyle="1" w:styleId="Ttulo4Car">
    <w:name w:val="Título 4 Car"/>
    <w:basedOn w:val="Fuentedeprrafopredeter"/>
    <w:link w:val="Ttulo4"/>
    <w:uiPriority w:val="9"/>
    <w:semiHidden/>
    <w:rsid w:val="00092EFD"/>
    <w:rPr>
      <w:rFonts w:ascii="Calibri" w:eastAsia="Times New Roman" w:hAnsi="Calibri" w:cs="Times New Roman"/>
      <w:b/>
      <w:bCs/>
      <w:sz w:val="28"/>
      <w:szCs w:val="28"/>
      <w:lang w:val="es-VE" w:eastAsia="es-VE"/>
    </w:rPr>
  </w:style>
  <w:style w:type="paragraph" w:styleId="Textonotaalfinal">
    <w:name w:val="endnote text"/>
    <w:basedOn w:val="Normal"/>
    <w:link w:val="TextonotaalfinalCar"/>
    <w:uiPriority w:val="99"/>
    <w:unhideWhenUsed/>
    <w:rsid w:val="00092EFD"/>
    <w:pPr>
      <w:spacing w:after="200" w:line="276" w:lineRule="auto"/>
    </w:pPr>
    <w:rPr>
      <w:rFonts w:eastAsia="Times New Roman" w:cs="Times New Roman"/>
      <w:lang w:val="es-VE" w:eastAsia="es-VE"/>
    </w:rPr>
  </w:style>
  <w:style w:type="character" w:customStyle="1" w:styleId="TextonotaalfinalCar">
    <w:name w:val="Texto nota al final Car"/>
    <w:basedOn w:val="Fuentedeprrafopredeter"/>
    <w:link w:val="Textonotaalfinal"/>
    <w:uiPriority w:val="99"/>
    <w:rsid w:val="00092EFD"/>
    <w:rPr>
      <w:rFonts w:ascii="Calibri" w:eastAsia="Times New Roman" w:hAnsi="Calibri" w:cs="Times New Roman"/>
      <w:sz w:val="20"/>
      <w:szCs w:val="20"/>
      <w:lang w:val="es-VE" w:eastAsia="es-VE"/>
    </w:rPr>
  </w:style>
  <w:style w:type="character" w:styleId="Refdenotaalfinal">
    <w:name w:val="endnote reference"/>
    <w:uiPriority w:val="99"/>
    <w:semiHidden/>
    <w:unhideWhenUsed/>
    <w:rsid w:val="00092EFD"/>
    <w:rPr>
      <w:vertAlign w:val="superscript"/>
    </w:rPr>
  </w:style>
  <w:style w:type="character" w:customStyle="1" w:styleId="apple-converted-space">
    <w:name w:val="apple-converted-space"/>
    <w:basedOn w:val="Fuentedeprrafopredeter"/>
    <w:rsid w:val="00092EFD"/>
  </w:style>
  <w:style w:type="character" w:customStyle="1" w:styleId="titulo">
    <w:name w:val="titulo"/>
    <w:basedOn w:val="Fuentedeprrafopredeter"/>
    <w:rsid w:val="00092EFD"/>
  </w:style>
  <w:style w:type="character" w:customStyle="1" w:styleId="subtitulo">
    <w:name w:val="subtitulo"/>
    <w:basedOn w:val="Fuentedeprrafopredeter"/>
    <w:rsid w:val="00092EFD"/>
  </w:style>
  <w:style w:type="paragraph" w:styleId="HTMLconformatoprevio">
    <w:name w:val="HTML Preformatted"/>
    <w:basedOn w:val="Normal"/>
    <w:link w:val="HTMLconformatoprevioCar"/>
    <w:uiPriority w:val="99"/>
    <w:unhideWhenUsed/>
    <w:rsid w:val="00092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VE" w:eastAsia="es-VE"/>
    </w:rPr>
  </w:style>
  <w:style w:type="character" w:customStyle="1" w:styleId="HTMLconformatoprevioCar">
    <w:name w:val="HTML con formato previo Car"/>
    <w:basedOn w:val="Fuentedeprrafopredeter"/>
    <w:link w:val="HTMLconformatoprevio"/>
    <w:uiPriority w:val="99"/>
    <w:rsid w:val="00092EFD"/>
    <w:rPr>
      <w:rFonts w:ascii="Courier New" w:eastAsia="Times New Roman" w:hAnsi="Courier New" w:cs="Courier New"/>
      <w:sz w:val="20"/>
      <w:szCs w:val="20"/>
      <w:lang w:val="es-VE" w:eastAsia="es-VE"/>
    </w:rPr>
  </w:style>
  <w:style w:type="character" w:styleId="nfasis">
    <w:name w:val="Emphasis"/>
    <w:uiPriority w:val="20"/>
    <w:qFormat/>
    <w:rsid w:val="00092EFD"/>
    <w:rPr>
      <w:i/>
      <w:iCs/>
    </w:rPr>
  </w:style>
  <w:style w:type="character" w:customStyle="1" w:styleId="notranslate">
    <w:name w:val="notranslate"/>
    <w:basedOn w:val="Fuentedeprrafopredeter"/>
    <w:rsid w:val="00092EFD"/>
  </w:style>
  <w:style w:type="character" w:customStyle="1" w:styleId="elgg-access">
    <w:name w:val="elgg-access"/>
    <w:basedOn w:val="Fuentedeprrafopredeter"/>
    <w:rsid w:val="00092EFD"/>
  </w:style>
  <w:style w:type="paragraph" w:customStyle="1" w:styleId="elgg-output-categories">
    <w:name w:val="elgg-output-categories"/>
    <w:basedOn w:val="Normal"/>
    <w:rsid w:val="00092EFD"/>
    <w:pPr>
      <w:spacing w:before="100" w:beforeAutospacing="1" w:after="100" w:afterAutospacing="1"/>
    </w:pPr>
    <w:rPr>
      <w:rFonts w:ascii="Times New Roman" w:eastAsia="Times New Roman" w:hAnsi="Times New Roman" w:cs="Times New Roman"/>
      <w:sz w:val="24"/>
      <w:szCs w:val="24"/>
      <w:lang w:val="es-VE" w:eastAsia="es-VE"/>
    </w:rPr>
  </w:style>
  <w:style w:type="character" w:customStyle="1" w:styleId="nobold">
    <w:name w:val="nobold"/>
    <w:basedOn w:val="Fuentedeprrafopredeter"/>
    <w:rsid w:val="00092EFD"/>
  </w:style>
  <w:style w:type="paragraph" w:styleId="Textodeglobo">
    <w:name w:val="Balloon Text"/>
    <w:basedOn w:val="Normal"/>
    <w:link w:val="TextodegloboCar"/>
    <w:uiPriority w:val="99"/>
    <w:semiHidden/>
    <w:unhideWhenUsed/>
    <w:rsid w:val="00092EFD"/>
    <w:rPr>
      <w:rFonts w:ascii="Tahoma" w:eastAsia="Times New Roman" w:hAnsi="Tahoma" w:cs="Tahoma"/>
      <w:sz w:val="16"/>
      <w:szCs w:val="16"/>
      <w:lang w:val="es-VE" w:eastAsia="es-VE"/>
    </w:rPr>
  </w:style>
  <w:style w:type="character" w:customStyle="1" w:styleId="TextodegloboCar">
    <w:name w:val="Texto de globo Car"/>
    <w:basedOn w:val="Fuentedeprrafopredeter"/>
    <w:link w:val="Textodeglobo"/>
    <w:uiPriority w:val="99"/>
    <w:semiHidden/>
    <w:rsid w:val="00092EFD"/>
    <w:rPr>
      <w:rFonts w:ascii="Tahoma" w:eastAsia="Times New Roman" w:hAnsi="Tahoma" w:cs="Tahoma"/>
      <w:sz w:val="16"/>
      <w:szCs w:val="16"/>
      <w:lang w:val="es-VE" w:eastAsia="es-VE"/>
    </w:rPr>
  </w:style>
  <w:style w:type="paragraph" w:customStyle="1" w:styleId="lid">
    <w:name w:val="lid"/>
    <w:basedOn w:val="Normal"/>
    <w:rsid w:val="00092EFD"/>
    <w:pPr>
      <w:spacing w:before="100" w:beforeAutospacing="1" w:after="100" w:afterAutospacing="1"/>
    </w:pPr>
    <w:rPr>
      <w:rFonts w:ascii="Times New Roman" w:eastAsia="Times New Roman" w:hAnsi="Times New Roman" w:cs="Times New Roman"/>
      <w:sz w:val="24"/>
      <w:szCs w:val="24"/>
      <w:lang w:val="es-VE" w:eastAsia="es-VE"/>
    </w:rPr>
  </w:style>
  <w:style w:type="character" w:customStyle="1" w:styleId="lidnr">
    <w:name w:val="lidnr"/>
    <w:basedOn w:val="Fuentedeprrafopredeter"/>
    <w:rsid w:val="00092EFD"/>
  </w:style>
  <w:style w:type="paragraph" w:customStyle="1" w:styleId="al">
    <w:name w:val="al"/>
    <w:basedOn w:val="Normal"/>
    <w:rsid w:val="00092EFD"/>
    <w:pPr>
      <w:spacing w:before="100" w:beforeAutospacing="1" w:after="100" w:afterAutospacing="1"/>
    </w:pPr>
    <w:rPr>
      <w:rFonts w:ascii="Times New Roman" w:eastAsia="Times New Roman" w:hAnsi="Times New Roman" w:cs="Times New Roman"/>
      <w:sz w:val="24"/>
      <w:szCs w:val="24"/>
      <w:lang w:val="es-VE" w:eastAsia="es-VE"/>
    </w:rPr>
  </w:style>
  <w:style w:type="character" w:customStyle="1" w:styleId="addmd">
    <w:name w:val="addmd"/>
    <w:basedOn w:val="Fuentedeprrafopredeter"/>
    <w:rsid w:val="00092EFD"/>
  </w:style>
  <w:style w:type="character" w:customStyle="1" w:styleId="details-biblio-hidden-view-list">
    <w:name w:val="details-biblio-hidden-view-list"/>
    <w:basedOn w:val="Fuentedeprrafopredeter"/>
    <w:rsid w:val="00092EFD"/>
  </w:style>
  <w:style w:type="paragraph" w:styleId="Textodebloque">
    <w:name w:val="Block Text"/>
    <w:basedOn w:val="Normal"/>
    <w:uiPriority w:val="99"/>
    <w:rsid w:val="00092EFD"/>
    <w:pPr>
      <w:ind w:left="195" w:right="195"/>
      <w:jc w:val="both"/>
    </w:pPr>
    <w:rPr>
      <w:rFonts w:ascii="Arial" w:eastAsia="Times New Roman" w:hAnsi="Arial"/>
      <w:sz w:val="24"/>
      <w:szCs w:val="24"/>
      <w:lang w:val="en-US"/>
    </w:rPr>
  </w:style>
  <w:style w:type="character" w:customStyle="1" w:styleId="resalte1">
    <w:name w:val="resalte1"/>
    <w:basedOn w:val="Fuentedeprrafopredeter"/>
    <w:rsid w:val="00092EFD"/>
  </w:style>
  <w:style w:type="character" w:customStyle="1" w:styleId="resalte3">
    <w:name w:val="resalte3"/>
    <w:basedOn w:val="Fuentedeprrafopredeter"/>
    <w:rsid w:val="00092EFD"/>
  </w:style>
  <w:style w:type="character" w:styleId="Textodelmarcadordeposicin">
    <w:name w:val="Placeholder Text"/>
    <w:basedOn w:val="Fuentedeprrafopredeter"/>
    <w:uiPriority w:val="99"/>
    <w:semiHidden/>
    <w:rsid w:val="00342CDA"/>
    <w:rPr>
      <w:color w:val="808080"/>
    </w:rPr>
  </w:style>
  <w:style w:type="paragraph" w:styleId="Prrafodelista">
    <w:name w:val="List Paragraph"/>
    <w:basedOn w:val="Normal"/>
    <w:uiPriority w:val="34"/>
    <w:qFormat/>
    <w:rsid w:val="00342CDA"/>
    <w:pPr>
      <w:spacing w:after="200" w:line="276" w:lineRule="auto"/>
      <w:ind w:left="720"/>
      <w:contextualSpacing/>
    </w:pPr>
    <w:rPr>
      <w:rFonts w:cs="Times New Roman"/>
      <w:sz w:val="22"/>
      <w:szCs w:val="22"/>
    </w:rPr>
  </w:style>
  <w:style w:type="character" w:customStyle="1" w:styleId="datospublicacion">
    <w:name w:val="datos_publicacion"/>
    <w:basedOn w:val="Fuentedeprrafopredeter"/>
    <w:rsid w:val="003B5E7A"/>
  </w:style>
  <w:style w:type="paragraph" w:customStyle="1" w:styleId="Default">
    <w:name w:val="Default"/>
    <w:rsid w:val="003B5E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Fuentedeprrafopredeter"/>
    <w:rsid w:val="003B5E7A"/>
  </w:style>
  <w:style w:type="paragraph" w:styleId="Textoindependiente">
    <w:name w:val="Body Text"/>
    <w:basedOn w:val="Normal"/>
    <w:link w:val="TextoindependienteCar"/>
    <w:uiPriority w:val="99"/>
    <w:semiHidden/>
    <w:rsid w:val="003B5E7A"/>
    <w:pPr>
      <w:jc w:val="both"/>
    </w:pPr>
    <w:rPr>
      <w:rFonts w:ascii="Times New Roman" w:eastAsia="Times New Roman" w:hAnsi="Times New Roman" w:cs="Times New Roman"/>
      <w:snapToGrid w:val="0"/>
      <w:sz w:val="28"/>
      <w:lang w:val="es-ES_tradnl"/>
    </w:rPr>
  </w:style>
  <w:style w:type="character" w:customStyle="1" w:styleId="TextoindependienteCar">
    <w:name w:val="Texto independiente Car"/>
    <w:basedOn w:val="Fuentedeprrafopredeter"/>
    <w:link w:val="Textoindependiente"/>
    <w:uiPriority w:val="99"/>
    <w:semiHidden/>
    <w:rsid w:val="003B5E7A"/>
    <w:rPr>
      <w:rFonts w:ascii="Times New Roman" w:eastAsia="Times New Roman" w:hAnsi="Times New Roman" w:cs="Times New Roman"/>
      <w:snapToGrid w:val="0"/>
      <w:sz w:val="28"/>
      <w:szCs w:val="20"/>
      <w:lang w:val="es-ES_tradnl" w:eastAsia="es-ES"/>
    </w:rPr>
  </w:style>
  <w:style w:type="character" w:customStyle="1" w:styleId="valor">
    <w:name w:val="valor"/>
    <w:basedOn w:val="Fuentedeprrafopredeter"/>
    <w:rsid w:val="003B5E7A"/>
  </w:style>
  <w:style w:type="character" w:customStyle="1" w:styleId="separador">
    <w:name w:val="separador"/>
    <w:basedOn w:val="Fuentedeprrafopredeter"/>
    <w:rsid w:val="003B5E7A"/>
  </w:style>
  <w:style w:type="character" w:customStyle="1" w:styleId="citetitle">
    <w:name w:val="cite_title"/>
    <w:basedOn w:val="Fuentedeprrafopredeter"/>
    <w:rsid w:val="003B5E7A"/>
  </w:style>
  <w:style w:type="character" w:styleId="Referenciasutil">
    <w:name w:val="Subtle Reference"/>
    <w:basedOn w:val="Fuentedeprrafopredeter"/>
    <w:uiPriority w:val="31"/>
    <w:qFormat/>
    <w:rsid w:val="0094029D"/>
    <w:rPr>
      <w:rFonts w:ascii="Times New Roman" w:hAnsi="Times New Roman"/>
      <w:smallCaps/>
      <w:color w:val="auto"/>
      <w:sz w:val="20"/>
    </w:rPr>
  </w:style>
  <w:style w:type="paragraph" w:customStyle="1" w:styleId="ak">
    <w:name w:val="ak"/>
    <w:basedOn w:val="Normal"/>
    <w:rsid w:val="0094029D"/>
    <w:pPr>
      <w:spacing w:before="100" w:beforeAutospacing="1" w:after="100" w:afterAutospacing="1"/>
    </w:pPr>
    <w:rPr>
      <w:rFonts w:ascii="Times New Roman" w:eastAsia="Times New Roman" w:hAnsi="Times New Roman" w:cs="Times New Roman"/>
      <w:sz w:val="24"/>
      <w:szCs w:val="24"/>
    </w:rPr>
  </w:style>
  <w:style w:type="paragraph" w:customStyle="1" w:styleId="parrafo2">
    <w:name w:val="parrafo_2"/>
    <w:basedOn w:val="Normal"/>
    <w:rsid w:val="0094029D"/>
    <w:pPr>
      <w:spacing w:before="100" w:beforeAutospacing="1" w:after="100" w:afterAutospacing="1"/>
    </w:pPr>
    <w:rPr>
      <w:rFonts w:ascii="Times New Roman" w:eastAsia="Times New Roman" w:hAnsi="Times New Roman" w:cs="Times New Roman"/>
      <w:sz w:val="24"/>
      <w:szCs w:val="24"/>
    </w:rPr>
  </w:style>
  <w:style w:type="paragraph" w:customStyle="1" w:styleId="parrafo">
    <w:name w:val="parrafo"/>
    <w:basedOn w:val="Normal"/>
    <w:rsid w:val="0094029D"/>
    <w:pPr>
      <w:spacing w:before="100" w:beforeAutospacing="1" w:after="100" w:afterAutospacing="1"/>
    </w:pPr>
    <w:rPr>
      <w:rFonts w:ascii="Times New Roman" w:eastAsia="Times New Roman" w:hAnsi="Times New Roman" w:cs="Times New Roman"/>
      <w:sz w:val="24"/>
      <w:szCs w:val="24"/>
    </w:rPr>
  </w:style>
  <w:style w:type="paragraph" w:customStyle="1" w:styleId="sangradoarticulo">
    <w:name w:val="sangrado_articulo"/>
    <w:basedOn w:val="Normal"/>
    <w:rsid w:val="0094029D"/>
    <w:pPr>
      <w:spacing w:before="100" w:beforeAutospacing="1" w:after="100" w:afterAutospacing="1"/>
    </w:pPr>
    <w:rPr>
      <w:rFonts w:ascii="Times New Roman" w:eastAsia="Times New Roman" w:hAnsi="Times New Roman" w:cs="Times New Roman"/>
      <w:sz w:val="24"/>
      <w:szCs w:val="24"/>
    </w:rPr>
  </w:style>
  <w:style w:type="paragraph" w:customStyle="1" w:styleId="sangrado">
    <w:name w:val="sangrado"/>
    <w:basedOn w:val="Normal"/>
    <w:rsid w:val="0094029D"/>
    <w:pPr>
      <w:spacing w:before="100" w:beforeAutospacing="1" w:after="100" w:afterAutospacing="1"/>
    </w:pPr>
    <w:rPr>
      <w:rFonts w:ascii="Times New Roman" w:eastAsia="Times New Roman" w:hAnsi="Times New Roman" w:cs="Times New Roman"/>
      <w:sz w:val="24"/>
      <w:szCs w:val="24"/>
    </w:rPr>
  </w:style>
  <w:style w:type="paragraph" w:customStyle="1" w:styleId="c08dispositif">
    <w:name w:val="c08dispositif"/>
    <w:basedOn w:val="Normal"/>
    <w:rsid w:val="0094029D"/>
    <w:pPr>
      <w:spacing w:before="100" w:beforeAutospacing="1" w:after="100" w:afterAutospacing="1"/>
    </w:pPr>
    <w:rPr>
      <w:rFonts w:ascii="Times New Roman" w:eastAsia="Times New Roman" w:hAnsi="Times New Roman" w:cs="Times New Roman"/>
      <w:sz w:val="24"/>
      <w:szCs w:val="24"/>
    </w:rPr>
  </w:style>
  <w:style w:type="character" w:customStyle="1" w:styleId="titulo1">
    <w:name w:val="titulo1"/>
    <w:basedOn w:val="Fuentedeprrafopredeter"/>
    <w:rsid w:val="0094029D"/>
  </w:style>
  <w:style w:type="paragraph" w:customStyle="1" w:styleId="autores">
    <w:name w:val="autores"/>
    <w:basedOn w:val="Normal"/>
    <w:rsid w:val="0094029D"/>
    <w:pPr>
      <w:spacing w:before="100" w:beforeAutospacing="1" w:after="100" w:afterAutospacing="1"/>
    </w:pPr>
    <w:rPr>
      <w:rFonts w:ascii="Times New Roman" w:eastAsia="Times New Roman" w:hAnsi="Times New Roman" w:cs="Times New Roman"/>
      <w:sz w:val="24"/>
      <w:szCs w:val="24"/>
    </w:rPr>
  </w:style>
  <w:style w:type="paragraph" w:customStyle="1" w:styleId="localizacion">
    <w:name w:val="localizacion"/>
    <w:basedOn w:val="Normal"/>
    <w:rsid w:val="0094029D"/>
    <w:pPr>
      <w:spacing w:before="100" w:beforeAutospacing="1" w:after="100" w:afterAutospacing="1"/>
    </w:pPr>
    <w:rPr>
      <w:rFonts w:ascii="Times New Roman" w:eastAsia="Times New Roman" w:hAnsi="Times New Roman" w:cs="Times New Roman"/>
      <w:sz w:val="24"/>
      <w:szCs w:val="24"/>
    </w:rPr>
  </w:style>
  <w:style w:type="character" w:customStyle="1" w:styleId="fn">
    <w:name w:val="fn"/>
    <w:basedOn w:val="Fuentedeprrafopredeter"/>
    <w:rsid w:val="0094029D"/>
  </w:style>
  <w:style w:type="character" w:customStyle="1" w:styleId="Subttulo1">
    <w:name w:val="Subtítulo1"/>
    <w:basedOn w:val="Fuentedeprrafopredeter"/>
    <w:rsid w:val="0094029D"/>
  </w:style>
  <w:style w:type="paragraph" w:customStyle="1" w:styleId="Pa11">
    <w:name w:val="Pa1+1"/>
    <w:basedOn w:val="Default"/>
    <w:next w:val="Default"/>
    <w:uiPriority w:val="99"/>
    <w:rsid w:val="0094029D"/>
    <w:pPr>
      <w:spacing w:line="241" w:lineRule="atLeast"/>
    </w:pPr>
    <w:rPr>
      <w:rFonts w:ascii="ITC Legacy Serif Std Ultra" w:hAnsi="ITC Legacy Serif Std Ultra" w:cstheme="minorBidi"/>
      <w:color w:val="auto"/>
    </w:rPr>
  </w:style>
  <w:style w:type="character" w:customStyle="1" w:styleId="A21">
    <w:name w:val="A2+1"/>
    <w:uiPriority w:val="99"/>
    <w:rsid w:val="0094029D"/>
    <w:rPr>
      <w:rFonts w:cs="ITC Legacy Serif Std Ultra"/>
      <w:b/>
      <w:bCs/>
      <w:color w:val="000000"/>
      <w:sz w:val="46"/>
      <w:szCs w:val="46"/>
    </w:rPr>
  </w:style>
  <w:style w:type="character" w:customStyle="1" w:styleId="mosaic">
    <w:name w:val="mosaic"/>
    <w:basedOn w:val="Fuentedeprrafopredeter"/>
    <w:rsid w:val="0094029D"/>
  </w:style>
  <w:style w:type="character" w:styleId="CitaHTML">
    <w:name w:val="HTML Cite"/>
    <w:basedOn w:val="Fuentedeprrafopredeter"/>
    <w:uiPriority w:val="99"/>
    <w:semiHidden/>
    <w:unhideWhenUsed/>
    <w:rsid w:val="0094029D"/>
    <w:rPr>
      <w:i/>
      <w:iCs/>
    </w:rPr>
  </w:style>
  <w:style w:type="character" w:customStyle="1" w:styleId="Mencinsinresolver1">
    <w:name w:val="Mención sin resolver1"/>
    <w:basedOn w:val="Fuentedeprrafopredeter"/>
    <w:uiPriority w:val="99"/>
    <w:semiHidden/>
    <w:unhideWhenUsed/>
    <w:rsid w:val="0094029D"/>
    <w:rPr>
      <w:color w:val="605E5C"/>
      <w:shd w:val="clear" w:color="auto" w:fill="E1DFDD"/>
    </w:rPr>
  </w:style>
  <w:style w:type="character" w:customStyle="1" w:styleId="author">
    <w:name w:val="author"/>
    <w:basedOn w:val="Fuentedeprrafopredeter"/>
    <w:rsid w:val="0094029D"/>
  </w:style>
  <w:style w:type="paragraph" w:customStyle="1" w:styleId="Pa63">
    <w:name w:val="Pa6+3"/>
    <w:basedOn w:val="Normal"/>
    <w:next w:val="Normal"/>
    <w:uiPriority w:val="99"/>
    <w:rsid w:val="00520DD7"/>
    <w:pPr>
      <w:autoSpaceDE w:val="0"/>
      <w:autoSpaceDN w:val="0"/>
      <w:adjustRightInd w:val="0"/>
      <w:spacing w:line="236" w:lineRule="atLeast"/>
    </w:pPr>
    <w:rPr>
      <w:rFonts w:ascii="Times New Roman MT Std" w:eastAsiaTheme="minorHAnsi" w:hAnsi="Times New Roman MT Std" w:cstheme="minorBidi"/>
      <w:sz w:val="24"/>
      <w:szCs w:val="24"/>
      <w:lang w:eastAsia="en-US"/>
    </w:rPr>
  </w:style>
  <w:style w:type="paragraph" w:customStyle="1" w:styleId="helpnote">
    <w:name w:val="help_note"/>
    <w:basedOn w:val="Normal"/>
    <w:rsid w:val="00107903"/>
    <w:pPr>
      <w:spacing w:before="100" w:beforeAutospacing="1" w:after="100" w:afterAutospacing="1"/>
    </w:pPr>
    <w:rPr>
      <w:rFonts w:ascii="Times New Roman" w:eastAsia="Times New Roman" w:hAnsi="Times New Roman" w:cs="Times New Roman"/>
      <w:sz w:val="24"/>
      <w:szCs w:val="24"/>
    </w:rPr>
  </w:style>
  <w:style w:type="paragraph" w:customStyle="1" w:styleId="Normal1">
    <w:name w:val="Normal1"/>
    <w:basedOn w:val="Normal"/>
    <w:rsid w:val="004A00AB"/>
    <w:pPr>
      <w:spacing w:before="100" w:beforeAutospacing="1" w:after="100" w:afterAutospacing="1"/>
    </w:pPr>
    <w:rPr>
      <w:rFonts w:ascii="Times New Roman" w:eastAsia="Times New Roman" w:hAnsi="Times New Roman" w:cs="Times New Roman"/>
      <w:sz w:val="24"/>
      <w:szCs w:val="24"/>
    </w:rPr>
  </w:style>
  <w:style w:type="character" w:styleId="AcrnimoHTML">
    <w:name w:val="HTML Acronym"/>
    <w:basedOn w:val="Fuentedeprrafopredeter"/>
    <w:uiPriority w:val="99"/>
    <w:semiHidden/>
    <w:unhideWhenUsed/>
    <w:rsid w:val="004A00AB"/>
  </w:style>
  <w:style w:type="character" w:customStyle="1" w:styleId="accent-text">
    <w:name w:val="accent-text"/>
    <w:basedOn w:val="Fuentedeprrafopredeter"/>
    <w:rsid w:val="004A00AB"/>
  </w:style>
  <w:style w:type="character" w:customStyle="1" w:styleId="user-highlighted-active">
    <w:name w:val="user-highlighted-active"/>
    <w:basedOn w:val="Fuentedeprrafopredeter"/>
    <w:rsid w:val="004A00AB"/>
  </w:style>
  <w:style w:type="character" w:styleId="Refdecomentario">
    <w:name w:val="annotation reference"/>
    <w:basedOn w:val="Fuentedeprrafopredeter"/>
    <w:uiPriority w:val="99"/>
    <w:semiHidden/>
    <w:unhideWhenUsed/>
    <w:rsid w:val="004A00AB"/>
    <w:rPr>
      <w:sz w:val="18"/>
      <w:szCs w:val="18"/>
    </w:rPr>
  </w:style>
  <w:style w:type="paragraph" w:styleId="Textocomentario">
    <w:name w:val="annotation text"/>
    <w:basedOn w:val="Normal"/>
    <w:link w:val="TextocomentarioCar"/>
    <w:uiPriority w:val="99"/>
    <w:semiHidden/>
    <w:unhideWhenUsed/>
    <w:rsid w:val="004A00AB"/>
    <w:pPr>
      <w:spacing w:after="160"/>
    </w:pPr>
    <w:rPr>
      <w:rFonts w:asciiTheme="minorHAnsi" w:eastAsiaTheme="minorHAnsi" w:hAnsiTheme="minorHAnsi" w:cstheme="minorBidi"/>
      <w:sz w:val="24"/>
      <w:szCs w:val="24"/>
      <w:lang w:eastAsia="en-US"/>
    </w:rPr>
  </w:style>
  <w:style w:type="character" w:customStyle="1" w:styleId="TextocomentarioCar">
    <w:name w:val="Texto comentario Car"/>
    <w:basedOn w:val="Fuentedeprrafopredeter"/>
    <w:link w:val="Textocomentario"/>
    <w:uiPriority w:val="99"/>
    <w:semiHidden/>
    <w:rsid w:val="004A00AB"/>
    <w:rPr>
      <w:sz w:val="24"/>
      <w:szCs w:val="24"/>
    </w:rPr>
  </w:style>
  <w:style w:type="paragraph" w:styleId="Asuntodelcomentario">
    <w:name w:val="annotation subject"/>
    <w:basedOn w:val="Textocomentario"/>
    <w:next w:val="Textocomentario"/>
    <w:link w:val="AsuntodelcomentarioCar"/>
    <w:uiPriority w:val="99"/>
    <w:semiHidden/>
    <w:unhideWhenUsed/>
    <w:rsid w:val="004A00AB"/>
    <w:rPr>
      <w:b/>
      <w:bCs/>
      <w:sz w:val="20"/>
      <w:szCs w:val="20"/>
    </w:rPr>
  </w:style>
  <w:style w:type="character" w:customStyle="1" w:styleId="AsuntodelcomentarioCar">
    <w:name w:val="Asunto del comentario Car"/>
    <w:basedOn w:val="TextocomentarioCar"/>
    <w:link w:val="Asuntodelcomentario"/>
    <w:uiPriority w:val="99"/>
    <w:semiHidden/>
    <w:rsid w:val="004A00AB"/>
    <w:rPr>
      <w:b/>
      <w:bCs/>
      <w:sz w:val="20"/>
      <w:szCs w:val="20"/>
    </w:rPr>
  </w:style>
  <w:style w:type="paragraph" w:styleId="Revisin">
    <w:name w:val="Revision"/>
    <w:hidden/>
    <w:uiPriority w:val="99"/>
    <w:semiHidden/>
    <w:rsid w:val="004A0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7622">
      <w:bodyDiv w:val="1"/>
      <w:marLeft w:val="0"/>
      <w:marRight w:val="0"/>
      <w:marTop w:val="0"/>
      <w:marBottom w:val="0"/>
      <w:divBdr>
        <w:top w:val="none" w:sz="0" w:space="0" w:color="auto"/>
        <w:left w:val="none" w:sz="0" w:space="0" w:color="auto"/>
        <w:bottom w:val="none" w:sz="0" w:space="0" w:color="auto"/>
        <w:right w:val="none" w:sz="0" w:space="0" w:color="auto"/>
      </w:divBdr>
    </w:div>
    <w:div w:id="208997310">
      <w:bodyDiv w:val="1"/>
      <w:marLeft w:val="0"/>
      <w:marRight w:val="0"/>
      <w:marTop w:val="0"/>
      <w:marBottom w:val="0"/>
      <w:divBdr>
        <w:top w:val="none" w:sz="0" w:space="0" w:color="auto"/>
        <w:left w:val="none" w:sz="0" w:space="0" w:color="auto"/>
        <w:bottom w:val="none" w:sz="0" w:space="0" w:color="auto"/>
        <w:right w:val="none" w:sz="0" w:space="0" w:color="auto"/>
      </w:divBdr>
    </w:div>
    <w:div w:id="210003234">
      <w:bodyDiv w:val="1"/>
      <w:marLeft w:val="0"/>
      <w:marRight w:val="0"/>
      <w:marTop w:val="0"/>
      <w:marBottom w:val="0"/>
      <w:divBdr>
        <w:top w:val="none" w:sz="0" w:space="0" w:color="auto"/>
        <w:left w:val="none" w:sz="0" w:space="0" w:color="auto"/>
        <w:bottom w:val="none" w:sz="0" w:space="0" w:color="auto"/>
        <w:right w:val="none" w:sz="0" w:space="0" w:color="auto"/>
      </w:divBdr>
    </w:div>
    <w:div w:id="1705867428">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286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drom.uclm.es" TargetMode="External"/><Relationship Id="rId5" Type="http://schemas.openxmlformats.org/officeDocument/2006/relationships/webSettings" Target="webSettings.xml"/><Relationship Id="rId15" Type="http://schemas.openxmlformats.org/officeDocument/2006/relationships/hyperlink" Target="https://dialnet.unirioja.es/servlet/revista?codigo=1245" TargetMode="External"/><Relationship Id="rId10" Type="http://schemas.openxmlformats.org/officeDocument/2006/relationships/hyperlink" Target="mailto:jrrobles@um.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ialnet.unirioja.es/servlet/revista?codigo=12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1EF5-ABF7-4A75-9595-D6441412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8027</Words>
  <Characters>42789</Characters>
  <Application>Microsoft Office Word</Application>
  <DocSecurity>0</DocSecurity>
  <Lines>910</Lines>
  <Paragraphs>147</Paragraphs>
  <ScaleCrop>false</ScaleCrop>
  <HeadingPairs>
    <vt:vector size="2" baseType="variant">
      <vt:variant>
        <vt:lpstr>Título</vt:lpstr>
      </vt:variant>
      <vt:variant>
        <vt:i4>1</vt:i4>
      </vt:variant>
    </vt:vector>
  </HeadingPairs>
  <TitlesOfParts>
    <vt:vector size="1" baseType="lpstr">
      <vt:lpstr>Evolución de los fueros jurisdiccionales romanos en la práctica legislativa y jurisprudencial de la UE en el siglo XXI</vt:lpstr>
    </vt:vector>
  </TitlesOfParts>
  <Manager>Gustavo de las Heras</Manager>
  <Company>RIDROM</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Evolución de los fueros jurisdiccionales romanos en la práctica legislativa y jurisprudencial de la UE en el siglo XXI</dc:title>
  <dc:subject>ROBLES, Juan Ramón. Evolución de los fueros jurisdiccionales romanos en la práctica legislativa y jurisprudencial de la UE en el siglo XXI. RIDROM [on line]. 27-2021.  ISSN 1989-1970.  p. 237-279</dc:subject>
  <dc:creator>ROBLES, Juan Ramón</dc:creator>
  <cp:keywords>Competencia judicial UE; Reglamentos UE-Derecho romano; forum domicilii y UE</cp:keywords>
  <dc:description>La promulgación de los Reglamentos de la UE en materia de competencia jurisdiccional ha puesto de manifiesto su innegable origen justinianeo. Esta presencia romana ha sido ratificada por la jurisprudencia del TJUE que, en sus sentencias, se remite a los conceptos y fueros que utilizaban los jurisconsultos romanos. La remisión al domicilio habitual como criterio prioritario para determinar la competencia judicial ha sido completada, no sólo con la referencia al  forum rei sitae, forum delicti commissi o forum solutionis, sino a conceptos nuevos como el de “residencia habitual”, que complementa al domicilio. Se observa que el legislador comunitario ha de recurrir a fueros excepcionales o privilegiados que intentan adaptar los cimientos romanos a la nueva construcción del derecho del siglo XXI, pero que no dejan de ser una adaptación de los criterios clásicos acuñados hace dos mil años._x000d_
_x000d_
Abstract:_x000d_
The enactment of EU Regulations in the field of jurisdictional competence has proved its undeniable Justinian origin. This Roman presence has been confirmed by CJEU case-law, as some of its decisions refer to the concepts and competence rules that were applied by Roman jurists. The habitual address as main criterion for the determination of the jurisdictional competence has been completed, not only by the remittance to the forum rei sitae, forum delicti commissi or forum solutionis, but also by new concepts as "habitual residence" (that complement "address"). We can perceive that the EU legislator needs to apply exceptional or privileged competence criteria with the aim of adapting Roman basis to the new construction of XXI century laws. However, these are undoubtedly an adaptation of classical criteria developed two thousand years ago_x000d_
</dc:description>
  <cp:lastModifiedBy>Gustavo Raúl de las Heras Sánchez</cp:lastModifiedBy>
  <cp:revision>12</cp:revision>
  <cp:lastPrinted>2020-10-11T09:40:00Z</cp:lastPrinted>
  <dcterms:created xsi:type="dcterms:W3CDTF">2021-10-30T11:56:00Z</dcterms:created>
  <dcterms:modified xsi:type="dcterms:W3CDTF">2021-11-01T10:19:00Z</dcterms:modified>
</cp:coreProperties>
</file>